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D9" w:rsidRDefault="00EA251F" w:rsidP="005D7CD9">
      <w:pPr>
        <w:tabs>
          <w:tab w:val="center" w:pos="6979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519983" wp14:editId="047B29D5">
            <wp:simplePos x="0" y="0"/>
            <wp:positionH relativeFrom="column">
              <wp:posOffset>8193024</wp:posOffset>
            </wp:positionH>
            <wp:positionV relativeFrom="paragraph">
              <wp:posOffset>-497815</wp:posOffset>
            </wp:positionV>
            <wp:extent cx="1280160" cy="907085"/>
            <wp:effectExtent l="0" t="0" r="0" b="7620"/>
            <wp:wrapNone/>
            <wp:docPr id="2" name="Picture 2" descr="C:\Users\rh359\AppData\Local\Microsoft\Windows\Temporary Internet Files\Content.Outlook\MQVAY0RT\ittp Logo smal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rh359\AppData\Local\Microsoft\Windows\Temporary Internet Files\Content.Outlook\MQVAY0RT\ittp Logo smaller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9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D7CD9" w:rsidRDefault="005D7CD9" w:rsidP="005D7CD9">
      <w:pPr>
        <w:tabs>
          <w:tab w:val="center" w:pos="6979"/>
        </w:tabs>
      </w:pPr>
      <w:bookmarkStart w:id="0" w:name="_GoBack"/>
      <w:bookmarkEnd w:id="0"/>
    </w:p>
    <w:p w:rsidR="005D7CD9" w:rsidRPr="00292F01" w:rsidRDefault="005D7CD9" w:rsidP="00144FEA">
      <w:pPr>
        <w:pStyle w:val="Default"/>
        <w:rPr>
          <w:rFonts w:ascii="Arial" w:hAnsi="Arial" w:cs="Arial"/>
          <w:b/>
          <w:color w:val="6A3B77"/>
          <w:sz w:val="32"/>
        </w:rPr>
      </w:pPr>
      <w:r w:rsidRPr="00292F01">
        <w:rPr>
          <w:rFonts w:ascii="Arial" w:hAnsi="Arial" w:cs="Arial"/>
          <w:b/>
          <w:bCs/>
          <w:color w:val="6A3B77"/>
          <w:sz w:val="32"/>
        </w:rPr>
        <w:t xml:space="preserve">ITTP </w:t>
      </w:r>
      <w:r w:rsidR="005462B8">
        <w:rPr>
          <w:rFonts w:ascii="Arial" w:hAnsi="Arial" w:cs="Arial"/>
          <w:b/>
          <w:bCs/>
          <w:color w:val="6A3B77"/>
          <w:sz w:val="32"/>
        </w:rPr>
        <w:t>S</w:t>
      </w:r>
      <w:r w:rsidRPr="00292F01">
        <w:rPr>
          <w:rFonts w:ascii="Arial" w:hAnsi="Arial" w:cs="Arial"/>
          <w:b/>
          <w:bCs/>
          <w:color w:val="6A3B77"/>
          <w:sz w:val="32"/>
        </w:rPr>
        <w:t xml:space="preserve">tudentship </w:t>
      </w:r>
      <w:r w:rsidR="005462B8">
        <w:rPr>
          <w:rFonts w:ascii="Arial" w:hAnsi="Arial" w:cs="Arial"/>
          <w:b/>
          <w:bCs/>
          <w:color w:val="6A3B77"/>
          <w:sz w:val="32"/>
        </w:rPr>
        <w:t>A</w:t>
      </w:r>
      <w:r w:rsidRPr="00292F01">
        <w:rPr>
          <w:rFonts w:ascii="Arial" w:hAnsi="Arial" w:cs="Arial"/>
          <w:b/>
          <w:bCs/>
          <w:color w:val="6A3B77"/>
          <w:sz w:val="32"/>
        </w:rPr>
        <w:t>wards for 2008-201</w:t>
      </w:r>
      <w:r w:rsidR="00EE4C88">
        <w:rPr>
          <w:rFonts w:ascii="Arial" w:hAnsi="Arial" w:cs="Arial"/>
          <w:b/>
          <w:bCs/>
          <w:color w:val="6A3B77"/>
          <w:sz w:val="32"/>
        </w:rPr>
        <w:t>8</w:t>
      </w:r>
    </w:p>
    <w:p w:rsidR="005D7CD9" w:rsidRDefault="005D7CD9" w:rsidP="005D7CD9">
      <w:pPr>
        <w:tabs>
          <w:tab w:val="center" w:pos="6979"/>
        </w:tabs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3827"/>
        <w:gridCol w:w="5954"/>
      </w:tblGrid>
      <w:tr w:rsidR="00572878" w:rsidRPr="00EC5DF1" w:rsidTr="00572878">
        <w:trPr>
          <w:trHeight w:val="501"/>
        </w:trPr>
        <w:tc>
          <w:tcPr>
            <w:tcW w:w="4253" w:type="dxa"/>
            <w:shd w:val="clear" w:color="auto" w:fill="21677E"/>
            <w:vAlign w:val="center"/>
          </w:tcPr>
          <w:p w:rsidR="00572878" w:rsidRPr="00144FEA" w:rsidRDefault="00572878" w:rsidP="00144FEA">
            <w:pPr>
              <w:tabs>
                <w:tab w:val="center" w:pos="697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144FEA">
              <w:rPr>
                <w:rFonts w:ascii="Arial" w:hAnsi="Arial" w:cs="Arial"/>
                <w:b/>
                <w:color w:val="FFFFFF" w:themeColor="background1"/>
              </w:rPr>
              <w:t>Host Institution</w:t>
            </w:r>
          </w:p>
        </w:tc>
        <w:tc>
          <w:tcPr>
            <w:tcW w:w="3827" w:type="dxa"/>
            <w:shd w:val="clear" w:color="auto" w:fill="21677E"/>
            <w:vAlign w:val="center"/>
          </w:tcPr>
          <w:p w:rsidR="00572878" w:rsidRPr="00144FEA" w:rsidRDefault="00572878" w:rsidP="00144FEA">
            <w:pPr>
              <w:tabs>
                <w:tab w:val="center" w:pos="697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144FEA">
              <w:rPr>
                <w:rFonts w:ascii="Arial" w:hAnsi="Arial" w:cs="Arial"/>
                <w:b/>
                <w:color w:val="FFFFFF" w:themeColor="background1"/>
              </w:rPr>
              <w:t>Collaborator Institution</w:t>
            </w:r>
          </w:p>
        </w:tc>
        <w:tc>
          <w:tcPr>
            <w:tcW w:w="5954" w:type="dxa"/>
            <w:shd w:val="clear" w:color="auto" w:fill="21677E"/>
            <w:vAlign w:val="center"/>
          </w:tcPr>
          <w:p w:rsidR="00572878" w:rsidRPr="00144FEA" w:rsidRDefault="00572878" w:rsidP="00144FEA">
            <w:pPr>
              <w:tabs>
                <w:tab w:val="center" w:pos="6979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144FEA">
              <w:rPr>
                <w:rFonts w:ascii="Arial" w:hAnsi="Arial" w:cs="Arial"/>
                <w:b/>
                <w:color w:val="FFFFFF" w:themeColor="background1"/>
              </w:rPr>
              <w:t>Title</w:t>
            </w:r>
          </w:p>
        </w:tc>
      </w:tr>
      <w:tr w:rsidR="00572878" w:rsidRPr="00EC5DF1" w:rsidTr="00572878">
        <w:trPr>
          <w:trHeight w:val="325"/>
        </w:trPr>
        <w:tc>
          <w:tcPr>
            <w:tcW w:w="4253" w:type="dxa"/>
            <w:shd w:val="clear" w:color="auto" w:fill="6A3B6D"/>
            <w:vAlign w:val="center"/>
          </w:tcPr>
          <w:p w:rsidR="00572878" w:rsidRPr="00144FEA" w:rsidRDefault="00572878" w:rsidP="00144FEA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</w:rPr>
              <w:t>2018</w:t>
            </w:r>
          </w:p>
        </w:tc>
        <w:tc>
          <w:tcPr>
            <w:tcW w:w="3827" w:type="dxa"/>
            <w:shd w:val="clear" w:color="auto" w:fill="6A3B6D"/>
            <w:vAlign w:val="center"/>
          </w:tcPr>
          <w:p w:rsidR="00572878" w:rsidRPr="00144FEA" w:rsidRDefault="00572878" w:rsidP="00144FEA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</w:tc>
        <w:tc>
          <w:tcPr>
            <w:tcW w:w="5954" w:type="dxa"/>
            <w:shd w:val="clear" w:color="auto" w:fill="6A3B6D"/>
            <w:vAlign w:val="center"/>
          </w:tcPr>
          <w:p w:rsidR="00572878" w:rsidRPr="00144FEA" w:rsidRDefault="00572878" w:rsidP="00144FEA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</w:p>
        </w:tc>
      </w:tr>
      <w:tr w:rsidR="00572878" w:rsidRPr="00EC5DF1" w:rsidTr="00572878">
        <w:trPr>
          <w:trHeight w:val="325"/>
        </w:trPr>
        <w:tc>
          <w:tcPr>
            <w:tcW w:w="4253" w:type="dxa"/>
            <w:shd w:val="clear" w:color="auto" w:fill="auto"/>
          </w:tcPr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 w:rsidRPr="00DC3531">
              <w:rPr>
                <w:rFonts w:ascii="Arial" w:hAnsi="Arial" w:cs="Arial"/>
                <w:sz w:val="20"/>
                <w:szCs w:val="20"/>
              </w:rPr>
              <w:t>University of Oxford</w:t>
            </w:r>
          </w:p>
        </w:tc>
        <w:tc>
          <w:tcPr>
            <w:tcW w:w="3827" w:type="dxa"/>
            <w:shd w:val="clear" w:color="auto" w:fill="auto"/>
          </w:tcPr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Syngenta</w:t>
            </w:r>
          </w:p>
        </w:tc>
        <w:tc>
          <w:tcPr>
            <w:tcW w:w="5954" w:type="dxa"/>
            <w:shd w:val="clear" w:color="auto" w:fill="auto"/>
          </w:tcPr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 w:rsidRPr="00DC3531">
              <w:rPr>
                <w:rFonts w:ascii="Arial" w:hAnsi="Arial" w:cs="Arial"/>
                <w:sz w:val="20"/>
                <w:szCs w:val="20"/>
              </w:rPr>
              <w:t>Novel genetic approaches to predictive developmental and reproductive toxicology</w:t>
            </w:r>
          </w:p>
        </w:tc>
      </w:tr>
      <w:tr w:rsidR="00572878" w:rsidRPr="00EC5DF1" w:rsidTr="00572878">
        <w:trPr>
          <w:trHeight w:val="325"/>
        </w:trPr>
        <w:tc>
          <w:tcPr>
            <w:tcW w:w="4253" w:type="dxa"/>
            <w:shd w:val="clear" w:color="auto" w:fill="auto"/>
          </w:tcPr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 w:rsidRPr="00DC3531">
              <w:rPr>
                <w:rFonts w:ascii="Arial" w:hAnsi="Arial" w:cs="Arial"/>
                <w:sz w:val="20"/>
                <w:szCs w:val="20"/>
              </w:rPr>
              <w:t>Imperial College</w:t>
            </w:r>
          </w:p>
        </w:tc>
        <w:tc>
          <w:tcPr>
            <w:tcW w:w="3827" w:type="dxa"/>
            <w:shd w:val="clear" w:color="auto" w:fill="auto"/>
          </w:tcPr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AstraZeneca</w:t>
            </w:r>
          </w:p>
        </w:tc>
        <w:tc>
          <w:tcPr>
            <w:tcW w:w="5954" w:type="dxa"/>
            <w:shd w:val="clear" w:color="auto" w:fill="auto"/>
          </w:tcPr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 w:rsidRPr="00DC3531">
              <w:rPr>
                <w:rFonts w:ascii="Arial" w:hAnsi="Arial" w:cs="Arial"/>
                <w:sz w:val="20"/>
                <w:szCs w:val="20"/>
              </w:rPr>
              <w:t>Developing Predictive Phenotypic Signatures of Drug-Induced Mitochondrial Toxicity</w:t>
            </w:r>
          </w:p>
        </w:tc>
      </w:tr>
      <w:tr w:rsidR="00572878" w:rsidRPr="00EC5DF1" w:rsidTr="00572878">
        <w:trPr>
          <w:trHeight w:val="325"/>
        </w:trPr>
        <w:tc>
          <w:tcPr>
            <w:tcW w:w="4253" w:type="dxa"/>
            <w:shd w:val="clear" w:color="auto" w:fill="auto"/>
          </w:tcPr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 w:rsidRPr="00DC3531">
              <w:rPr>
                <w:rFonts w:ascii="Arial" w:hAnsi="Arial" w:cs="Arial"/>
                <w:sz w:val="20"/>
                <w:szCs w:val="20"/>
              </w:rPr>
              <w:t>University of Liverpool</w:t>
            </w:r>
          </w:p>
        </w:tc>
        <w:tc>
          <w:tcPr>
            <w:tcW w:w="3827" w:type="dxa"/>
            <w:shd w:val="clear" w:color="auto" w:fill="auto"/>
          </w:tcPr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GSK</w:t>
            </w:r>
          </w:p>
        </w:tc>
        <w:tc>
          <w:tcPr>
            <w:tcW w:w="5954" w:type="dxa"/>
            <w:shd w:val="clear" w:color="auto" w:fill="auto"/>
          </w:tcPr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 w:rsidRPr="00DC3531">
              <w:rPr>
                <w:rFonts w:ascii="Arial" w:hAnsi="Arial" w:cs="Arial"/>
                <w:sz w:val="20"/>
                <w:szCs w:val="20"/>
              </w:rPr>
              <w:t>Evaluation of Organoids and Systems Biology to develop Adverse Outcome Pathways of Gastrointestinal Toxicity</w:t>
            </w:r>
          </w:p>
        </w:tc>
      </w:tr>
      <w:tr w:rsidR="00572878" w:rsidRPr="00EC5DF1" w:rsidTr="00572878">
        <w:trPr>
          <w:trHeight w:val="273"/>
        </w:trPr>
        <w:tc>
          <w:tcPr>
            <w:tcW w:w="4253" w:type="dxa"/>
            <w:shd w:val="clear" w:color="auto" w:fill="auto"/>
          </w:tcPr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 w:rsidRPr="00DC3531">
              <w:rPr>
                <w:rFonts w:ascii="Arial" w:hAnsi="Arial" w:cs="Arial"/>
                <w:sz w:val="20"/>
                <w:szCs w:val="20"/>
              </w:rPr>
              <w:t>MRC Toxicology Unit</w:t>
            </w:r>
          </w:p>
        </w:tc>
        <w:tc>
          <w:tcPr>
            <w:tcW w:w="3827" w:type="dxa"/>
            <w:shd w:val="clear" w:color="auto" w:fill="auto"/>
          </w:tcPr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AstraZeneca </w:t>
            </w:r>
          </w:p>
        </w:tc>
        <w:tc>
          <w:tcPr>
            <w:tcW w:w="5954" w:type="dxa"/>
            <w:shd w:val="clear" w:color="auto" w:fill="auto"/>
          </w:tcPr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 w:rsidRPr="00DC3531">
              <w:rPr>
                <w:rFonts w:ascii="Arial" w:hAnsi="Arial" w:cs="Arial"/>
                <w:sz w:val="20"/>
                <w:szCs w:val="20"/>
              </w:rPr>
              <w:t xml:space="preserve">Human </w:t>
            </w:r>
            <w:proofErr w:type="spellStart"/>
            <w:r w:rsidRPr="00DC3531">
              <w:rPr>
                <w:rFonts w:ascii="Arial" w:hAnsi="Arial" w:cs="Arial"/>
                <w:sz w:val="20"/>
                <w:szCs w:val="20"/>
              </w:rPr>
              <w:t>iPS</w:t>
            </w:r>
            <w:proofErr w:type="spellEnd"/>
            <w:r w:rsidRPr="00DC3531">
              <w:rPr>
                <w:rFonts w:ascii="Arial" w:hAnsi="Arial" w:cs="Arial"/>
                <w:sz w:val="20"/>
                <w:szCs w:val="20"/>
              </w:rPr>
              <w:t xml:space="preserve"> cell derived models of drug-induced neurotoxic effects on mitochondrial biology and</w:t>
            </w:r>
          </w:p>
          <w:p w:rsidR="00572878" w:rsidRPr="00DC3531" w:rsidRDefault="00572878" w:rsidP="00250066">
            <w:pPr>
              <w:tabs>
                <w:tab w:val="center" w:pos="6979"/>
              </w:tabs>
              <w:rPr>
                <w:rFonts w:ascii="Arial" w:hAnsi="Arial" w:cs="Arial"/>
                <w:sz w:val="20"/>
                <w:szCs w:val="20"/>
              </w:rPr>
            </w:pPr>
            <w:r w:rsidRPr="00DC3531">
              <w:rPr>
                <w:rFonts w:ascii="Arial" w:hAnsi="Arial" w:cs="Arial"/>
                <w:sz w:val="20"/>
                <w:szCs w:val="20"/>
              </w:rPr>
              <w:t>metabolism</w:t>
            </w:r>
          </w:p>
        </w:tc>
      </w:tr>
      <w:tr w:rsidR="00572878" w:rsidRPr="00EC5DF1" w:rsidTr="00572878">
        <w:trPr>
          <w:trHeight w:val="325"/>
        </w:trPr>
        <w:tc>
          <w:tcPr>
            <w:tcW w:w="4253" w:type="dxa"/>
            <w:shd w:val="clear" w:color="auto" w:fill="6A3B77"/>
            <w:vAlign w:val="center"/>
          </w:tcPr>
          <w:p w:rsidR="00572878" w:rsidRPr="00572878" w:rsidRDefault="00572878" w:rsidP="00144FEA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</w:rPr>
              <w:t>2016</w:t>
            </w:r>
          </w:p>
        </w:tc>
        <w:tc>
          <w:tcPr>
            <w:tcW w:w="3827" w:type="dxa"/>
            <w:shd w:val="clear" w:color="auto" w:fill="6A3B77"/>
            <w:vAlign w:val="center"/>
          </w:tcPr>
          <w:p w:rsidR="00572878" w:rsidRPr="00144FEA" w:rsidRDefault="00572878" w:rsidP="00144FEA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6A3B77"/>
              </w:rPr>
            </w:pPr>
          </w:p>
        </w:tc>
        <w:tc>
          <w:tcPr>
            <w:tcW w:w="5954" w:type="dxa"/>
            <w:shd w:val="clear" w:color="auto" w:fill="6A3B77"/>
            <w:vAlign w:val="center"/>
          </w:tcPr>
          <w:p w:rsidR="00572878" w:rsidRPr="00144FEA" w:rsidRDefault="00572878" w:rsidP="00144FEA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6A3B77"/>
              </w:rPr>
            </w:pP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C01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University of Durham</w:t>
            </w:r>
            <w:r>
              <w:rPr>
                <w:rFonts w:ascii="Arial" w:hAnsi="Arial" w:cs="Arial"/>
                <w:sz w:val="20"/>
                <w:szCs w:val="20"/>
              </w:rPr>
              <w:t>/ Newcastle University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C01AA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University of Liverpool / Covance / UCB Biopharma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C01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bCs/>
                <w:sz w:val="20"/>
                <w:szCs w:val="20"/>
              </w:rPr>
              <w:t xml:space="preserve">Evaluation of methodologies for </w:t>
            </w:r>
            <w:r w:rsidRPr="00EC5DF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in vitro </w:t>
            </w:r>
            <w:r w:rsidRPr="00EC5DF1">
              <w:rPr>
                <w:rFonts w:ascii="Arial" w:hAnsi="Arial" w:cs="Arial"/>
                <w:bCs/>
                <w:sz w:val="20"/>
                <w:szCs w:val="20"/>
              </w:rPr>
              <w:t>prediction of human drug-induced proarrythmia and cardiotoxicity of oncology therapeutics.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C01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MRC Toxicology Unit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C01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Nottingham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006E1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Adverse outcome pathways for examining toxicity in neurons</w:t>
            </w:r>
          </w:p>
        </w:tc>
      </w:tr>
      <w:tr w:rsidR="00572878" w:rsidRPr="00EC5DF1" w:rsidTr="00572878">
        <w:trPr>
          <w:trHeight w:val="307"/>
        </w:trPr>
        <w:tc>
          <w:tcPr>
            <w:tcW w:w="4253" w:type="dxa"/>
            <w:shd w:val="clear" w:color="auto" w:fill="auto"/>
          </w:tcPr>
          <w:p w:rsidR="00572878" w:rsidRPr="00EC5DF1" w:rsidRDefault="00572878" w:rsidP="002C01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MRC Toxicology Unit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D8625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AstraZeneca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C01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To explore the toxicity pathways induced by cellular delivery of modified nucleotides</w:t>
            </w:r>
          </w:p>
        </w:tc>
      </w:tr>
      <w:tr w:rsidR="00572878" w:rsidRPr="00EC5DF1" w:rsidTr="00572878">
        <w:trPr>
          <w:trHeight w:val="788"/>
        </w:trPr>
        <w:tc>
          <w:tcPr>
            <w:tcW w:w="4253" w:type="dxa"/>
            <w:shd w:val="clear" w:color="auto" w:fill="auto"/>
          </w:tcPr>
          <w:p w:rsidR="00572878" w:rsidRPr="00EC5DF1" w:rsidRDefault="00572878" w:rsidP="002C01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University of the West of England, Bristol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C01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AstraZeneca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C01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Bridging in vitro and in vivo testing: the utilisation of a novel in vitro three-dimensional model of the human bone marrow for toxicity and genotoxicity testing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  <w:r w:rsidRPr="00572878">
              <w:rPr>
                <w:rFonts w:ascii="Arial" w:hAnsi="Arial" w:cs="Arial"/>
                <w:b/>
                <w:i/>
                <w:color w:val="FFFFFF" w:themeColor="background1"/>
                <w:szCs w:val="20"/>
              </w:rPr>
              <w:t>2015</w:t>
            </w:r>
          </w:p>
        </w:tc>
        <w:tc>
          <w:tcPr>
            <w:tcW w:w="3827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  <w:tc>
          <w:tcPr>
            <w:tcW w:w="5954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University of Cambridge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AstraZeneca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Molecular mechanisms of bile salt export pump </w:t>
            </w:r>
          </w:p>
          <w:p w:rsidR="00572878" w:rsidRPr="00EC5DF1" w:rsidRDefault="00572878" w:rsidP="00006E18">
            <w:pPr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(BSEP) inhibition in drug-induced liver injury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MRC Toxicology Unit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AstraZeneca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006E18">
            <w:pPr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Designing novel mRNA-based therapeutic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DF1">
              <w:rPr>
                <w:rFonts w:ascii="Arial" w:hAnsi="Arial" w:cs="Arial"/>
                <w:sz w:val="20"/>
                <w:szCs w:val="20"/>
              </w:rPr>
              <w:t>approaches for non-toxic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DF1">
              <w:rPr>
                <w:rFonts w:ascii="Arial" w:hAnsi="Arial" w:cs="Arial"/>
                <w:sz w:val="20"/>
                <w:szCs w:val="20"/>
              </w:rPr>
              <w:t>delivery of genetic material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lastRenderedPageBreak/>
              <w:t>University of Dundee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Liverpool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006E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Development of a </w:t>
            </w:r>
            <w:r w:rsidRPr="00EC5DF1">
              <w:rPr>
                <w:rFonts w:ascii="Arial" w:hAnsi="Arial" w:cs="Arial"/>
                <w:sz w:val="20"/>
                <w:szCs w:val="20"/>
              </w:rPr>
              <w:t>Mammalian Toxicity</w:t>
            </w:r>
            <w:r>
              <w:rPr>
                <w:rFonts w:ascii="Arial" w:hAnsi="Arial" w:cs="Arial"/>
                <w:sz w:val="20"/>
                <w:szCs w:val="20"/>
              </w:rPr>
              <w:t xml:space="preserve"> Reporter </w:t>
            </w:r>
            <w:r w:rsidRPr="00EC5DF1">
              <w:rPr>
                <w:rFonts w:ascii="Arial" w:hAnsi="Arial" w:cs="Arial"/>
                <w:sz w:val="20"/>
                <w:szCs w:val="20"/>
              </w:rPr>
              <w:t>Model for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DF1">
              <w:rPr>
                <w:rFonts w:ascii="Arial" w:hAnsi="Arial" w:cs="Arial"/>
                <w:sz w:val="20"/>
                <w:szCs w:val="20"/>
              </w:rPr>
              <w:t>Metastatic MelanomaTherapies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University of Liverpool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iThera Medical / UCL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006E18">
            <w:pPr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Integrated imaging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DF1">
              <w:rPr>
                <w:rFonts w:ascii="Arial" w:hAnsi="Arial" w:cs="Arial"/>
                <w:sz w:val="20"/>
                <w:szCs w:val="20"/>
              </w:rPr>
              <w:t>circulating biomarkers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DF1">
              <w:rPr>
                <w:rFonts w:ascii="Arial" w:hAnsi="Arial" w:cs="Arial"/>
                <w:sz w:val="20"/>
                <w:szCs w:val="20"/>
              </w:rPr>
              <w:t>for the assessment of drug-induced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DF1">
              <w:rPr>
                <w:rFonts w:ascii="Arial" w:hAnsi="Arial" w:cs="Arial"/>
                <w:sz w:val="20"/>
                <w:szCs w:val="20"/>
              </w:rPr>
              <w:t>hepatotoxicity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6A3B77"/>
          </w:tcPr>
          <w:p w:rsidR="00572878" w:rsidRPr="00572878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572878">
              <w:rPr>
                <w:rFonts w:ascii="Arial" w:hAnsi="Arial" w:cs="Arial"/>
                <w:b/>
                <w:i/>
                <w:color w:val="FFFFFF" w:themeColor="background1"/>
              </w:rPr>
              <w:t>2014</w:t>
            </w:r>
          </w:p>
        </w:tc>
        <w:tc>
          <w:tcPr>
            <w:tcW w:w="3827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  <w:tc>
          <w:tcPr>
            <w:tcW w:w="5954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Newcastle</w:t>
            </w:r>
            <w:r>
              <w:rPr>
                <w:rFonts w:ascii="Arial" w:hAnsi="Arial" w:cs="Arial"/>
                <w:sz w:val="20"/>
                <w:szCs w:val="20"/>
              </w:rPr>
              <w:t xml:space="preserve"> University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EFSA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eastAsia="Calibri" w:hAnsi="Arial" w:cs="Arial"/>
                <w:sz w:val="20"/>
                <w:szCs w:val="20"/>
              </w:rPr>
              <w:t>The role of gut permeability and increased systematic inflammatory mediators on chemical (food and drug) toxicity.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University of Manchester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University of Sheffield / NHS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eastAsia="Calibri" w:hAnsi="Arial" w:cs="Arial"/>
                <w:sz w:val="20"/>
                <w:szCs w:val="20"/>
              </w:rPr>
              <w:t>Origins and biological significance of alkyl DNA damage in human sperm.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University of Liverpool</w:t>
            </w:r>
          </w:p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AstraZeneca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eastAsia="Calibri" w:hAnsi="Arial" w:cs="Arial"/>
                <w:sz w:val="20"/>
                <w:szCs w:val="20"/>
              </w:rPr>
              <w:t>Manipulation of the physiological and toxicological phenotype of human hepatocytes by targeting cellular differentiation and de-differentiation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Imperial College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King’s College London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eastAsia="Calibri" w:hAnsi="Arial" w:cs="Arial"/>
                <w:sz w:val="20"/>
                <w:szCs w:val="20"/>
              </w:rPr>
              <w:t>Metabolic phenotyping, cell death and inflammation; an integrative mechanistic approach for improved stratification of paracetamol-induced acute liver failure.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Imperial College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AstraZeneca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006E18">
            <w:pPr>
              <w:pStyle w:val="NoSpacing"/>
              <w:rPr>
                <w:rFonts w:ascii="Arial" w:eastAsia="Calibri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Development of novel in vitro systems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DF1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Pr="00EC5DF1">
              <w:rPr>
                <w:rFonts w:ascii="Arial" w:hAnsi="Arial" w:cs="Arial"/>
                <w:sz w:val="20"/>
                <w:szCs w:val="20"/>
              </w:rPr>
              <w:t>uantitative structure-activity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DF1">
              <w:rPr>
                <w:rFonts w:ascii="Arial" w:hAnsi="Arial" w:cs="Arial"/>
                <w:sz w:val="20"/>
                <w:szCs w:val="20"/>
              </w:rPr>
              <w:t>relationships for the prediction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DF1">
              <w:rPr>
                <w:rFonts w:ascii="Arial" w:hAnsi="Arial" w:cs="Arial"/>
                <w:sz w:val="20"/>
                <w:szCs w:val="20"/>
              </w:rPr>
              <w:t>adverse xenobiotic hydrolysis events.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6A3B77"/>
          </w:tcPr>
          <w:p w:rsidR="00572878" w:rsidRPr="00572878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Cs w:val="20"/>
              </w:rPr>
              <w:t>2013</w:t>
            </w:r>
          </w:p>
        </w:tc>
        <w:tc>
          <w:tcPr>
            <w:tcW w:w="3827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  <w:tc>
          <w:tcPr>
            <w:tcW w:w="5954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University of Liverpool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6A34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Edinburgh / Newcastle University / Novartis 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An integrated assessment of miroRNA-122 and HMGB1 as mechanistic biomarkers of drug-induced liver injury.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University of Dundee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Dundee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Influence of p53 pathway in determining efficacy or toxicity of treatment with novel polo-like kinase-1 (PLK1) targeted anti-cancer therapeutic agents.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MRC Toxicology Unit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 Lilly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Development and analysis of mouse models to probe the function and on target toxicity of drugs that target G-protein coupled receptors.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MRC Toxicology Unit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 Healthcare</w:t>
            </w:r>
          </w:p>
        </w:tc>
        <w:tc>
          <w:tcPr>
            <w:tcW w:w="5954" w:type="dxa"/>
            <w:shd w:val="clear" w:color="auto" w:fill="auto"/>
          </w:tcPr>
          <w:p w:rsidR="00572878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Developing novel biomarkers of cardiotoxicity</w:t>
            </w:r>
          </w:p>
          <w:p w:rsidR="00572878" w:rsidRPr="00EC5DF1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78" w:rsidRPr="00EC5DF1" w:rsidTr="00572878">
        <w:tc>
          <w:tcPr>
            <w:tcW w:w="4253" w:type="dxa"/>
            <w:shd w:val="clear" w:color="auto" w:fill="6A3B77"/>
          </w:tcPr>
          <w:p w:rsidR="00572878" w:rsidRPr="00572878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572878">
              <w:rPr>
                <w:rFonts w:ascii="Arial" w:hAnsi="Arial" w:cs="Arial"/>
                <w:b/>
                <w:i/>
                <w:color w:val="FFFFFF" w:themeColor="background1"/>
              </w:rPr>
              <w:t>2012</w:t>
            </w:r>
          </w:p>
        </w:tc>
        <w:tc>
          <w:tcPr>
            <w:tcW w:w="3827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  <w:tc>
          <w:tcPr>
            <w:tcW w:w="5954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MRC Toxicology Unit 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Mission Therapeutics / University of Cambridge</w:t>
            </w:r>
          </w:p>
        </w:tc>
        <w:tc>
          <w:tcPr>
            <w:tcW w:w="5954" w:type="dxa"/>
            <w:shd w:val="clear" w:color="auto" w:fill="auto"/>
          </w:tcPr>
          <w:p w:rsidR="00572878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Predicting cell toxicity: The role of protein synthesis in the DNA damage response </w:t>
            </w:r>
          </w:p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MRC Toxicology Unit 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Newcastle University / University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Aberdeen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lastRenderedPageBreak/>
              <w:t xml:space="preserve">Investigating the adverse effects of novel tumour-specific IAP </w:t>
            </w:r>
            <w:r w:rsidRPr="00EC5DF1">
              <w:rPr>
                <w:rFonts w:ascii="Arial" w:hAnsi="Arial" w:cs="Arial"/>
                <w:sz w:val="20"/>
                <w:szCs w:val="20"/>
              </w:rPr>
              <w:lastRenderedPageBreak/>
              <w:t xml:space="preserve">antagonists. 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lastRenderedPageBreak/>
              <w:t xml:space="preserve">MRC Toxicology Unit 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Dundee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Determining the role of microRNAs in the Nrf2 pathway following exposure to toxic agents and their effects on metabolism. 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Imperial College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Protection Agency / GSK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5D7C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miRNA biomarkers of inflammatory lung pathophysiology arising from administered pharmaceuticals and pollution components.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6A3B77"/>
          </w:tcPr>
          <w:p w:rsidR="00572878" w:rsidRPr="00572878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572878">
              <w:rPr>
                <w:rFonts w:ascii="Arial" w:hAnsi="Arial" w:cs="Arial"/>
                <w:b/>
                <w:i/>
                <w:color w:val="FFFFFF" w:themeColor="background1"/>
              </w:rPr>
              <w:t>2011</w:t>
            </w:r>
          </w:p>
        </w:tc>
        <w:tc>
          <w:tcPr>
            <w:tcW w:w="3827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  <w:tc>
          <w:tcPr>
            <w:tcW w:w="5954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r w:rsidRPr="00EC5DF1">
              <w:rPr>
                <w:rFonts w:ascii="Arial" w:hAnsi="Arial" w:cs="Arial"/>
                <w:sz w:val="20"/>
                <w:szCs w:val="20"/>
              </w:rPr>
              <w:t xml:space="preserve">Bristol 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Many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Dissecting Mechanisms of Nanoparticle-mediated Foetal Toxicity 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r w:rsidRPr="00EC5DF1">
              <w:rPr>
                <w:rFonts w:ascii="Arial" w:hAnsi="Arial" w:cs="Arial"/>
                <w:sz w:val="20"/>
                <w:szCs w:val="20"/>
              </w:rPr>
              <w:t xml:space="preserve">Liverpool 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AstraZeneca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Understanding the role of micro RNA in drug-induced cardiovascular toxicity 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r w:rsidRPr="00EC5DF1">
              <w:rPr>
                <w:rFonts w:ascii="Arial" w:hAnsi="Arial" w:cs="Arial"/>
                <w:sz w:val="20"/>
                <w:szCs w:val="20"/>
              </w:rPr>
              <w:t xml:space="preserve">Dundee 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Mechanism of inhibition of inflammation by the antioxidant transcription factor Nrf2 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6A3B77"/>
          </w:tcPr>
          <w:p w:rsidR="00572878" w:rsidRPr="00572878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572878">
              <w:rPr>
                <w:rFonts w:ascii="Arial" w:hAnsi="Arial" w:cs="Arial"/>
                <w:b/>
                <w:i/>
                <w:color w:val="FFFFFF" w:themeColor="background1"/>
              </w:rPr>
              <w:t>2010</w:t>
            </w:r>
          </w:p>
        </w:tc>
        <w:tc>
          <w:tcPr>
            <w:tcW w:w="3827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  <w:tc>
          <w:tcPr>
            <w:tcW w:w="5954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Imperial </w:t>
            </w:r>
            <w:r>
              <w:rPr>
                <w:rFonts w:ascii="Arial" w:hAnsi="Arial" w:cs="Arial"/>
                <w:sz w:val="20"/>
                <w:szCs w:val="20"/>
              </w:rPr>
              <w:t>College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CREAL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Metabonomic and epidemiological analyses of disinfection by-products in public water and risk of adverse birth outcomes 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r w:rsidRPr="00EC5DF1">
              <w:rPr>
                <w:rFonts w:ascii="Arial" w:hAnsi="Arial" w:cs="Arial"/>
                <w:sz w:val="20"/>
                <w:szCs w:val="20"/>
              </w:rPr>
              <w:t xml:space="preserve">Liverpool 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Leeds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An investigation to define piperacillin and ceflazidime antigenicity and </w:t>
            </w:r>
          </w:p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immunogenicity in patients with cystic fibrosis 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r w:rsidRPr="00EC5DF1">
              <w:rPr>
                <w:rFonts w:ascii="Arial" w:hAnsi="Arial" w:cs="Arial"/>
                <w:sz w:val="20"/>
                <w:szCs w:val="20"/>
              </w:rPr>
              <w:t xml:space="preserve">Liverpool 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MRC Toxicology Unit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Defining the chemical and molecular basis of toxicity induced by the endoperoxide class of antimalarials 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r w:rsidRPr="00EC5DF1">
              <w:rPr>
                <w:rFonts w:ascii="Arial" w:hAnsi="Arial" w:cs="Arial"/>
                <w:sz w:val="20"/>
                <w:szCs w:val="20"/>
              </w:rPr>
              <w:t xml:space="preserve">Liverpool 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Imperial College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Mechanisms of Aminoglycoside-induced nephrotoxicity – integrated molecular, proteomic, metabonomic and histological translational </w:t>
            </w:r>
          </w:p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biomarkers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University of </w:t>
            </w:r>
            <w:r w:rsidRPr="00EC5DF1">
              <w:rPr>
                <w:rFonts w:ascii="Arial" w:hAnsi="Arial" w:cs="Arial"/>
                <w:sz w:val="20"/>
                <w:szCs w:val="20"/>
              </w:rPr>
              <w:t>Cambridge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GSK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A metabolomics investigation of drug-induced hpatic phospholipidosis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6A3B77"/>
          </w:tcPr>
          <w:p w:rsidR="00572878" w:rsidRPr="00572878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572878">
              <w:rPr>
                <w:rFonts w:ascii="Arial" w:hAnsi="Arial" w:cs="Arial"/>
                <w:b/>
                <w:i/>
                <w:color w:val="FFFFFF" w:themeColor="background1"/>
              </w:rPr>
              <w:t>2009</w:t>
            </w:r>
          </w:p>
        </w:tc>
        <w:tc>
          <w:tcPr>
            <w:tcW w:w="3827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  <w:tc>
          <w:tcPr>
            <w:tcW w:w="5954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Southampton 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Birmingham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Nanotoxicology: particle and nanoparticles interactions with opsonins 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Imperial College </w:t>
            </w:r>
          </w:p>
        </w:tc>
        <w:tc>
          <w:tcPr>
            <w:tcW w:w="3827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COMET</w:t>
            </w:r>
          </w:p>
        </w:tc>
        <w:tc>
          <w:tcPr>
            <w:tcW w:w="5954" w:type="dxa"/>
            <w:shd w:val="clear" w:color="auto" w:fill="auto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In vivo comparative metabolic modelling of interspecies variation in hepatocytoxicity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Southampton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Oceanography Centre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Investigation of the potential health effects of transition metals in particulate air pollution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Cambridge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Syngenta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A functional genomic approach to understanding lipid biosynthesis and organelle proliferation in the liver as an early </w:t>
            </w:r>
            <w:r w:rsidRPr="00EC5DF1">
              <w:rPr>
                <w:rFonts w:ascii="Arial" w:hAnsi="Arial" w:cs="Arial"/>
                <w:sz w:val="20"/>
                <w:szCs w:val="20"/>
              </w:rPr>
              <w:lastRenderedPageBreak/>
              <w:t xml:space="preserve">indicator of the effects of non-genotoxic carcinogens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lastRenderedPageBreak/>
              <w:t xml:space="preserve">University of Aberdeen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Regulation of hepatic drug transporters: species differences and effect of cholestasis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Liverpool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Pfizer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Structure-metabolism analysis of the disposition and immunogenicity of PEGylated proteins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Liverpool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Liverpool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Integrated assessment of serum biomarkers of drug bioactivation, lipid peroxidation, apoptosis and necrosis in animal models of hepatic and renal stress.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Newcastle University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Wyeth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Myofibroblasts and their regulation of hepatic stem/progenitor cell function after injury </w:t>
            </w:r>
          </w:p>
        </w:tc>
      </w:tr>
      <w:tr w:rsidR="00572878" w:rsidRPr="00EC5DF1" w:rsidTr="00572878">
        <w:tc>
          <w:tcPr>
            <w:tcW w:w="4253" w:type="dxa"/>
            <w:shd w:val="clear" w:color="auto" w:fill="6A3B77"/>
          </w:tcPr>
          <w:p w:rsidR="00572878" w:rsidRPr="00572878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572878">
              <w:rPr>
                <w:rFonts w:ascii="Arial" w:hAnsi="Arial" w:cs="Arial"/>
                <w:b/>
                <w:i/>
                <w:color w:val="FFFFFF" w:themeColor="background1"/>
              </w:rPr>
              <w:t>2008</w:t>
            </w:r>
          </w:p>
        </w:tc>
        <w:tc>
          <w:tcPr>
            <w:tcW w:w="3827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  <w:tc>
          <w:tcPr>
            <w:tcW w:w="5954" w:type="dxa"/>
            <w:shd w:val="clear" w:color="auto" w:fill="6A3B77"/>
          </w:tcPr>
          <w:p w:rsidR="00572878" w:rsidRPr="00144FEA" w:rsidRDefault="00572878" w:rsidP="005D7CD9">
            <w:pPr>
              <w:tabs>
                <w:tab w:val="center" w:pos="6979"/>
              </w:tabs>
              <w:rPr>
                <w:rFonts w:ascii="Arial" w:hAnsi="Arial" w:cs="Arial"/>
                <w:b/>
                <w:i/>
                <w:color w:val="FFFFFF" w:themeColor="background1"/>
                <w:sz w:val="24"/>
                <w:szCs w:val="20"/>
              </w:rPr>
            </w:pP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MRC Toxicology Unit </w:t>
            </w:r>
          </w:p>
        </w:tc>
        <w:tc>
          <w:tcPr>
            <w:tcW w:w="3827" w:type="dxa"/>
          </w:tcPr>
          <w:p w:rsidR="00572878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GSK</w:t>
            </w:r>
          </w:p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Role of miRNA species and mRNA translation in mechanistic and evaluative toxicology in differentiated cardiac, hepatocyte and pancreatic islet cells from stem cells.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Aberdeen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Cannabinoid receptor antagonism and malformations in developing brain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Dundee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Inhibition of apoptosis by transcription factors Nrf1 and Nrf2 occurs mainly through regulation of intracellular redox status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Dundee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Dundee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Non catalytic mechanisms involved in glutathione S-transferase P (GST-P)-mediated cytoprotection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Leicester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Mitochondrial DNA-damage and toxin induced vascular endothelial cell ageing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Manchester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Manchester / MRC Toxicology Unit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Interleukin 17 and the development of allergic sensitization to chemicals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King’ College, London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 Healthcare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Development of human stem cell populations for integrative toxicology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Dundee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954" w:type="dxa"/>
          </w:tcPr>
          <w:p w:rsidR="00572878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>The role of PPAR-delta agonists in hepatic steatosis</w:t>
            </w:r>
          </w:p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Liverpool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AstraZeneca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Investigation of drug-specific cellular responses relevant to drug-induced immune liver injury in man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University of Birmingham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University of Birmingham</w:t>
            </w:r>
          </w:p>
        </w:tc>
        <w:tc>
          <w:tcPr>
            <w:tcW w:w="5954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Susceptibility of alternative mRNA processing to interference by small molecules; implications for drug design and toxicity </w:t>
            </w:r>
          </w:p>
        </w:tc>
      </w:tr>
      <w:tr w:rsidR="00572878" w:rsidRPr="00EC5DF1" w:rsidTr="00572878">
        <w:tc>
          <w:tcPr>
            <w:tcW w:w="4253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MRC Toxicology Unit </w:t>
            </w:r>
          </w:p>
        </w:tc>
        <w:tc>
          <w:tcPr>
            <w:tcW w:w="3827" w:type="dxa"/>
          </w:tcPr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MRC Toxicology Unit</w:t>
            </w:r>
          </w:p>
        </w:tc>
        <w:tc>
          <w:tcPr>
            <w:tcW w:w="5954" w:type="dxa"/>
          </w:tcPr>
          <w:p w:rsidR="00572878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C5DF1">
              <w:rPr>
                <w:rFonts w:ascii="Arial" w:hAnsi="Arial" w:cs="Arial"/>
                <w:sz w:val="20"/>
                <w:szCs w:val="20"/>
              </w:rPr>
              <w:t xml:space="preserve">Role of Bcl-2 family proteins in neurotoxic cell </w:t>
            </w:r>
          </w:p>
          <w:p w:rsidR="00572878" w:rsidRPr="00EC5DF1" w:rsidRDefault="00572878" w:rsidP="002B3A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4E0" w:rsidRPr="00EC5DF1" w:rsidRDefault="005D7CD9" w:rsidP="005D7CD9">
      <w:pPr>
        <w:tabs>
          <w:tab w:val="center" w:pos="6979"/>
        </w:tabs>
        <w:rPr>
          <w:rFonts w:ascii="Arial" w:hAnsi="Arial" w:cs="Arial"/>
          <w:sz w:val="20"/>
          <w:szCs w:val="20"/>
        </w:rPr>
      </w:pPr>
      <w:r w:rsidRPr="00EC5DF1">
        <w:rPr>
          <w:rFonts w:ascii="Arial" w:hAnsi="Arial" w:cs="Arial"/>
          <w:sz w:val="20"/>
          <w:szCs w:val="20"/>
        </w:rPr>
        <w:lastRenderedPageBreak/>
        <w:tab/>
      </w:r>
    </w:p>
    <w:sectPr w:rsidR="004364E0" w:rsidRPr="00EC5DF1" w:rsidSect="005D7CD9">
      <w:headerReference w:type="default" r:id="rId8"/>
      <w:pgSz w:w="16838" w:h="11906" w:orient="landscape"/>
      <w:pgMar w:top="1440" w:right="1440" w:bottom="1440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94" w:rsidRDefault="00897294" w:rsidP="005D7CD9">
      <w:pPr>
        <w:spacing w:after="0" w:line="240" w:lineRule="auto"/>
      </w:pPr>
      <w:r>
        <w:separator/>
      </w:r>
    </w:p>
  </w:endnote>
  <w:endnote w:type="continuationSeparator" w:id="0">
    <w:p w:rsidR="00897294" w:rsidRDefault="00897294" w:rsidP="005D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94" w:rsidRDefault="00897294" w:rsidP="005D7CD9">
      <w:pPr>
        <w:spacing w:after="0" w:line="240" w:lineRule="auto"/>
      </w:pPr>
      <w:r>
        <w:separator/>
      </w:r>
    </w:p>
  </w:footnote>
  <w:footnote w:type="continuationSeparator" w:id="0">
    <w:p w:rsidR="00897294" w:rsidRDefault="00897294" w:rsidP="005D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D9" w:rsidRDefault="00EA251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21B6C4A" wp14:editId="21164154">
          <wp:simplePos x="0" y="0"/>
          <wp:positionH relativeFrom="column">
            <wp:posOffset>3352800</wp:posOffset>
          </wp:positionH>
          <wp:positionV relativeFrom="paragraph">
            <wp:posOffset>-506095</wp:posOffset>
          </wp:positionV>
          <wp:extent cx="1314450" cy="933450"/>
          <wp:effectExtent l="0" t="0" r="0" b="0"/>
          <wp:wrapTight wrapText="bothSides">
            <wp:wrapPolygon edited="0">
              <wp:start x="0" y="0"/>
              <wp:lineTo x="0" y="21159"/>
              <wp:lineTo x="21287" y="21159"/>
              <wp:lineTo x="21287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780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6AE90E9" wp14:editId="21FA3B26">
          <wp:simplePos x="0" y="0"/>
          <wp:positionH relativeFrom="column">
            <wp:posOffset>-703580</wp:posOffset>
          </wp:positionH>
          <wp:positionV relativeFrom="paragraph">
            <wp:posOffset>-624840</wp:posOffset>
          </wp:positionV>
          <wp:extent cx="5731510" cy="1303020"/>
          <wp:effectExtent l="0" t="0" r="2540" b="0"/>
          <wp:wrapSquare wrapText="bothSides"/>
          <wp:docPr id="5" name="Picture 5" descr="MRC_IEU_Bristo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C_IEU_Bristo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54"/>
                  <a:stretch>
                    <a:fillRect/>
                  </a:stretch>
                </pic:blipFill>
                <pic:spPr>
                  <a:xfrm>
                    <a:off x="0" y="0"/>
                    <a:ext cx="5731510" cy="1303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7CD9" w:rsidRDefault="005D7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D9"/>
    <w:rsid w:val="00006E18"/>
    <w:rsid w:val="00144FEA"/>
    <w:rsid w:val="00206797"/>
    <w:rsid w:val="00246064"/>
    <w:rsid w:val="00250066"/>
    <w:rsid w:val="00292F01"/>
    <w:rsid w:val="002C01AA"/>
    <w:rsid w:val="00303225"/>
    <w:rsid w:val="004364E0"/>
    <w:rsid w:val="005203CD"/>
    <w:rsid w:val="005462B8"/>
    <w:rsid w:val="00572878"/>
    <w:rsid w:val="005D7CD9"/>
    <w:rsid w:val="00656DCE"/>
    <w:rsid w:val="006A3458"/>
    <w:rsid w:val="007C5FA7"/>
    <w:rsid w:val="00856193"/>
    <w:rsid w:val="00897294"/>
    <w:rsid w:val="00B862D2"/>
    <w:rsid w:val="00C63CFB"/>
    <w:rsid w:val="00CE5178"/>
    <w:rsid w:val="00D04ADC"/>
    <w:rsid w:val="00D86252"/>
    <w:rsid w:val="00DA7965"/>
    <w:rsid w:val="00DC3531"/>
    <w:rsid w:val="00EA251F"/>
    <w:rsid w:val="00EC5DF1"/>
    <w:rsid w:val="00EE4C88"/>
    <w:rsid w:val="00F1067F"/>
    <w:rsid w:val="00F7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CD9"/>
  </w:style>
  <w:style w:type="paragraph" w:styleId="Footer">
    <w:name w:val="footer"/>
    <w:basedOn w:val="Normal"/>
    <w:link w:val="FooterChar"/>
    <w:uiPriority w:val="99"/>
    <w:unhideWhenUsed/>
    <w:rsid w:val="005D7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CD9"/>
  </w:style>
  <w:style w:type="paragraph" w:styleId="BalloonText">
    <w:name w:val="Balloon Text"/>
    <w:basedOn w:val="Normal"/>
    <w:link w:val="BalloonTextChar"/>
    <w:uiPriority w:val="99"/>
    <w:semiHidden/>
    <w:unhideWhenUsed/>
    <w:rsid w:val="005D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7C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7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CD9"/>
  </w:style>
  <w:style w:type="paragraph" w:styleId="Footer">
    <w:name w:val="footer"/>
    <w:basedOn w:val="Normal"/>
    <w:link w:val="FooterChar"/>
    <w:uiPriority w:val="99"/>
    <w:unhideWhenUsed/>
    <w:rsid w:val="005D7C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CD9"/>
  </w:style>
  <w:style w:type="paragraph" w:styleId="BalloonText">
    <w:name w:val="Balloon Text"/>
    <w:basedOn w:val="Normal"/>
    <w:link w:val="BalloonTextChar"/>
    <w:uiPriority w:val="99"/>
    <w:semiHidden/>
    <w:unhideWhenUsed/>
    <w:rsid w:val="005D7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CD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7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D7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7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Heatherley</dc:creator>
  <cp:lastModifiedBy>Rebecca Heatherley</cp:lastModifiedBy>
  <cp:revision>11</cp:revision>
  <cp:lastPrinted>2017-09-08T12:14:00Z</cp:lastPrinted>
  <dcterms:created xsi:type="dcterms:W3CDTF">2018-05-03T12:56:00Z</dcterms:created>
  <dcterms:modified xsi:type="dcterms:W3CDTF">2018-07-12T14:50:00Z</dcterms:modified>
</cp:coreProperties>
</file>