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BE525" w14:textId="2641CAD6" w:rsidR="005D7CD9" w:rsidRPr="00292F01" w:rsidRDefault="005D7CD9" w:rsidP="00144FEA">
      <w:pPr>
        <w:pStyle w:val="Default"/>
        <w:rPr>
          <w:rFonts w:ascii="Arial" w:hAnsi="Arial" w:cs="Arial"/>
          <w:b/>
          <w:color w:val="6A3B77"/>
          <w:sz w:val="32"/>
        </w:rPr>
      </w:pPr>
      <w:r w:rsidRPr="00292F01">
        <w:rPr>
          <w:rFonts w:ascii="Arial" w:hAnsi="Arial" w:cs="Arial"/>
          <w:b/>
          <w:bCs/>
          <w:color w:val="6A3B77"/>
          <w:sz w:val="32"/>
        </w:rPr>
        <w:t xml:space="preserve">ITTP </w:t>
      </w:r>
      <w:r w:rsidR="005462B8">
        <w:rPr>
          <w:rFonts w:ascii="Arial" w:hAnsi="Arial" w:cs="Arial"/>
          <w:b/>
          <w:bCs/>
          <w:color w:val="6A3B77"/>
          <w:sz w:val="32"/>
        </w:rPr>
        <w:t>S</w:t>
      </w:r>
      <w:r w:rsidRPr="00292F01">
        <w:rPr>
          <w:rFonts w:ascii="Arial" w:hAnsi="Arial" w:cs="Arial"/>
          <w:b/>
          <w:bCs/>
          <w:color w:val="6A3B77"/>
          <w:sz w:val="32"/>
        </w:rPr>
        <w:t xml:space="preserve">tudentship </w:t>
      </w:r>
      <w:r w:rsidR="005462B8">
        <w:rPr>
          <w:rFonts w:ascii="Arial" w:hAnsi="Arial" w:cs="Arial"/>
          <w:b/>
          <w:bCs/>
          <w:color w:val="6A3B77"/>
          <w:sz w:val="32"/>
        </w:rPr>
        <w:t>A</w:t>
      </w:r>
      <w:r w:rsidRPr="00292F01">
        <w:rPr>
          <w:rFonts w:ascii="Arial" w:hAnsi="Arial" w:cs="Arial"/>
          <w:b/>
          <w:bCs/>
          <w:color w:val="6A3B77"/>
          <w:sz w:val="32"/>
        </w:rPr>
        <w:t>wards for 2008-20</w:t>
      </w:r>
      <w:r w:rsidR="00B02A6F">
        <w:rPr>
          <w:rFonts w:ascii="Arial" w:hAnsi="Arial" w:cs="Arial"/>
          <w:b/>
          <w:bCs/>
          <w:color w:val="6A3B77"/>
          <w:sz w:val="32"/>
        </w:rPr>
        <w:t>2</w:t>
      </w:r>
      <w:r w:rsidR="00905D6F">
        <w:rPr>
          <w:rFonts w:ascii="Arial" w:hAnsi="Arial" w:cs="Arial"/>
          <w:b/>
          <w:bCs/>
          <w:color w:val="6A3B77"/>
          <w:sz w:val="32"/>
        </w:rPr>
        <w:t>5</w:t>
      </w:r>
    </w:p>
    <w:p w14:paraId="30EBE526" w14:textId="77777777" w:rsidR="005D7CD9" w:rsidRDefault="005D7CD9" w:rsidP="005D7CD9">
      <w:pPr>
        <w:tabs>
          <w:tab w:val="center" w:pos="6979"/>
        </w:tabs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431"/>
        <w:gridCol w:w="3827"/>
        <w:gridCol w:w="6582"/>
      </w:tblGrid>
      <w:tr w:rsidR="00572878" w:rsidRPr="00EC5DF1" w14:paraId="30EBE52A" w14:textId="77777777" w:rsidTr="001870B4">
        <w:trPr>
          <w:trHeight w:val="501"/>
        </w:trPr>
        <w:tc>
          <w:tcPr>
            <w:tcW w:w="3431" w:type="dxa"/>
            <w:shd w:val="clear" w:color="auto" w:fill="21677E"/>
            <w:vAlign w:val="center"/>
          </w:tcPr>
          <w:p w14:paraId="30EBE527" w14:textId="77777777" w:rsidR="00572878" w:rsidRPr="00144FEA" w:rsidRDefault="00572878" w:rsidP="00144FEA">
            <w:pPr>
              <w:tabs>
                <w:tab w:val="center" w:pos="6979"/>
              </w:tabs>
              <w:rPr>
                <w:rFonts w:ascii="Arial" w:hAnsi="Arial" w:cs="Arial"/>
                <w:b/>
                <w:color w:val="FFFFFF" w:themeColor="background1"/>
              </w:rPr>
            </w:pPr>
            <w:r w:rsidRPr="00144FEA">
              <w:rPr>
                <w:rFonts w:ascii="Arial" w:hAnsi="Arial" w:cs="Arial"/>
                <w:b/>
                <w:color w:val="FFFFFF" w:themeColor="background1"/>
              </w:rPr>
              <w:t>Host Institution</w:t>
            </w:r>
          </w:p>
        </w:tc>
        <w:tc>
          <w:tcPr>
            <w:tcW w:w="3827" w:type="dxa"/>
            <w:shd w:val="clear" w:color="auto" w:fill="21677E"/>
            <w:vAlign w:val="center"/>
          </w:tcPr>
          <w:p w14:paraId="30EBE528" w14:textId="77777777" w:rsidR="00572878" w:rsidRPr="00144FEA" w:rsidRDefault="00572878" w:rsidP="00144FEA">
            <w:pPr>
              <w:tabs>
                <w:tab w:val="center" w:pos="6979"/>
              </w:tabs>
              <w:rPr>
                <w:rFonts w:ascii="Arial" w:hAnsi="Arial" w:cs="Arial"/>
                <w:b/>
                <w:color w:val="FFFFFF" w:themeColor="background1"/>
              </w:rPr>
            </w:pPr>
            <w:r w:rsidRPr="00144FEA">
              <w:rPr>
                <w:rFonts w:ascii="Arial" w:hAnsi="Arial" w:cs="Arial"/>
                <w:b/>
                <w:color w:val="FFFFFF" w:themeColor="background1"/>
              </w:rPr>
              <w:t>Collaborator Institution</w:t>
            </w:r>
          </w:p>
        </w:tc>
        <w:tc>
          <w:tcPr>
            <w:tcW w:w="6582" w:type="dxa"/>
            <w:shd w:val="clear" w:color="auto" w:fill="21677E"/>
            <w:vAlign w:val="center"/>
          </w:tcPr>
          <w:p w14:paraId="30EBE529" w14:textId="77777777" w:rsidR="00572878" w:rsidRPr="00144FEA" w:rsidRDefault="00572878" w:rsidP="00144FEA">
            <w:pPr>
              <w:tabs>
                <w:tab w:val="center" w:pos="6979"/>
              </w:tabs>
              <w:rPr>
                <w:rFonts w:ascii="Arial" w:hAnsi="Arial" w:cs="Arial"/>
                <w:b/>
                <w:color w:val="FFFFFF" w:themeColor="background1"/>
              </w:rPr>
            </w:pPr>
            <w:r w:rsidRPr="00144FEA">
              <w:rPr>
                <w:rFonts w:ascii="Arial" w:hAnsi="Arial" w:cs="Arial"/>
                <w:b/>
                <w:color w:val="FFFFFF" w:themeColor="background1"/>
              </w:rPr>
              <w:t>Title</w:t>
            </w:r>
          </w:p>
        </w:tc>
      </w:tr>
      <w:tr w:rsidR="00905D6F" w:rsidRPr="00EC5DF1" w14:paraId="4A921774" w14:textId="77777777" w:rsidTr="001870B4">
        <w:trPr>
          <w:trHeight w:val="325"/>
        </w:trPr>
        <w:tc>
          <w:tcPr>
            <w:tcW w:w="3431" w:type="dxa"/>
            <w:shd w:val="clear" w:color="auto" w:fill="5F497A" w:themeFill="accent4" w:themeFillShade="BF"/>
            <w:vAlign w:val="center"/>
          </w:tcPr>
          <w:p w14:paraId="76728BDA" w14:textId="3A8B73C2" w:rsidR="00905D6F" w:rsidRDefault="00905D6F" w:rsidP="00144FEA">
            <w:pPr>
              <w:tabs>
                <w:tab w:val="center" w:pos="6979"/>
              </w:tabs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2025</w:t>
            </w:r>
          </w:p>
        </w:tc>
        <w:tc>
          <w:tcPr>
            <w:tcW w:w="3827" w:type="dxa"/>
            <w:shd w:val="clear" w:color="auto" w:fill="5F497A" w:themeFill="accent4" w:themeFillShade="BF"/>
            <w:vAlign w:val="center"/>
          </w:tcPr>
          <w:p w14:paraId="236C289A" w14:textId="77777777" w:rsidR="00905D6F" w:rsidRPr="00144FEA" w:rsidRDefault="00905D6F" w:rsidP="00144FEA">
            <w:pPr>
              <w:tabs>
                <w:tab w:val="center" w:pos="6979"/>
              </w:tabs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6582" w:type="dxa"/>
            <w:shd w:val="clear" w:color="auto" w:fill="5F497A" w:themeFill="accent4" w:themeFillShade="BF"/>
            <w:vAlign w:val="center"/>
          </w:tcPr>
          <w:p w14:paraId="075E5FE9" w14:textId="77777777" w:rsidR="00905D6F" w:rsidRPr="00144FEA" w:rsidRDefault="00905D6F" w:rsidP="00144FEA">
            <w:pPr>
              <w:tabs>
                <w:tab w:val="center" w:pos="6979"/>
              </w:tabs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  <w:tr w:rsidR="00905D6F" w:rsidRPr="00EC5DF1" w14:paraId="296CE7B0" w14:textId="77777777" w:rsidTr="00AB2053">
        <w:trPr>
          <w:trHeight w:val="325"/>
        </w:trPr>
        <w:tc>
          <w:tcPr>
            <w:tcW w:w="3431" w:type="dxa"/>
          </w:tcPr>
          <w:p w14:paraId="01B51D21" w14:textId="6995A554" w:rsidR="00905D6F" w:rsidRPr="00E965B1" w:rsidRDefault="00814AB4" w:rsidP="00AB2053">
            <w:pPr>
              <w:tabs>
                <w:tab w:val="center" w:pos="6979"/>
              </w:tabs>
            </w:pPr>
            <w:r>
              <w:t>University of Cambridge (Dept of Genetics)</w:t>
            </w:r>
          </w:p>
        </w:tc>
        <w:tc>
          <w:tcPr>
            <w:tcW w:w="3827" w:type="dxa"/>
          </w:tcPr>
          <w:p w14:paraId="294ABAE4" w14:textId="19E4C5F0" w:rsidR="00F07B95" w:rsidRPr="00526AE2" w:rsidRDefault="00F07B95" w:rsidP="00AB2053">
            <w:r w:rsidRPr="00526AE2">
              <w:t>Swansea University</w:t>
            </w:r>
            <w:r w:rsidR="00AB2053">
              <w:t xml:space="preserve">, </w:t>
            </w:r>
            <w:r w:rsidRPr="00526AE2">
              <w:t>GSK</w:t>
            </w:r>
          </w:p>
          <w:p w14:paraId="1C2B3044" w14:textId="77777777" w:rsidR="00905D6F" w:rsidRPr="00905D6F" w:rsidRDefault="00905D6F" w:rsidP="00AB2053">
            <w:pPr>
              <w:tabs>
                <w:tab w:val="center" w:pos="6979"/>
              </w:tabs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82" w:type="dxa"/>
            <w:vAlign w:val="center"/>
          </w:tcPr>
          <w:p w14:paraId="5981BD4E" w14:textId="77777777" w:rsidR="00411087" w:rsidRDefault="00411087" w:rsidP="00411087">
            <w:pPr>
              <w:tabs>
                <w:tab w:val="center" w:pos="6979"/>
              </w:tabs>
            </w:pPr>
            <w:r>
              <w:t>Characterising clonal dynamics of somatic mutations in vivo for early prediction of</w:t>
            </w:r>
          </w:p>
          <w:p w14:paraId="3FE759CD" w14:textId="61482F94" w:rsidR="00905D6F" w:rsidRPr="00905D6F" w:rsidRDefault="00411087" w:rsidP="00411087">
            <w:pPr>
              <w:tabs>
                <w:tab w:val="center" w:pos="6979"/>
              </w:tabs>
              <w:rPr>
                <w:rFonts w:ascii="Calibri" w:hAnsi="Calibri" w:cs="Calibri"/>
                <w:color w:val="000000"/>
              </w:rPr>
            </w:pPr>
            <w:r>
              <w:t>carcinogenicity using advanced error corrected next generation sequencing</w:t>
            </w:r>
          </w:p>
        </w:tc>
      </w:tr>
      <w:tr w:rsidR="00E965B1" w:rsidRPr="00EC5DF1" w14:paraId="19A54D0C" w14:textId="77777777" w:rsidTr="00AB2053">
        <w:trPr>
          <w:trHeight w:val="325"/>
        </w:trPr>
        <w:tc>
          <w:tcPr>
            <w:tcW w:w="3431" w:type="dxa"/>
          </w:tcPr>
          <w:p w14:paraId="412F19A1" w14:textId="60B0E09F" w:rsidR="00E965B1" w:rsidRPr="00E965B1" w:rsidRDefault="00E965B1" w:rsidP="00AB2053">
            <w:pPr>
              <w:tabs>
                <w:tab w:val="center" w:pos="6979"/>
              </w:tabs>
            </w:pPr>
            <w:r>
              <w:t>University of Reading</w:t>
            </w:r>
          </w:p>
        </w:tc>
        <w:tc>
          <w:tcPr>
            <w:tcW w:w="3827" w:type="dxa"/>
          </w:tcPr>
          <w:p w14:paraId="46F70A62" w14:textId="34AB711F" w:rsidR="00E965B1" w:rsidRPr="00905D6F" w:rsidRDefault="00E965B1" w:rsidP="00AB2053">
            <w:pPr>
              <w:tabs>
                <w:tab w:val="center" w:pos="6979"/>
              </w:tabs>
              <w:rPr>
                <w:rFonts w:ascii="Calibri" w:hAnsi="Calibri" w:cs="Calibri"/>
                <w:color w:val="000000"/>
              </w:rPr>
            </w:pPr>
            <w:r>
              <w:t>UKHSA</w:t>
            </w:r>
          </w:p>
        </w:tc>
        <w:tc>
          <w:tcPr>
            <w:tcW w:w="6582" w:type="dxa"/>
            <w:vAlign w:val="center"/>
          </w:tcPr>
          <w:p w14:paraId="0E5623BA" w14:textId="760AEAB5" w:rsidR="00E965B1" w:rsidRPr="00905D6F" w:rsidRDefault="00E965B1" w:rsidP="00E965B1">
            <w:pPr>
              <w:tabs>
                <w:tab w:val="center" w:pos="6979"/>
              </w:tabs>
              <w:rPr>
                <w:rFonts w:ascii="Calibri" w:hAnsi="Calibri" w:cs="Calibri"/>
                <w:color w:val="000000"/>
              </w:rPr>
            </w:pPr>
            <w:r w:rsidRPr="009D0A29">
              <w:t>Exploring the effects of air pollutants on immune mediated K+ dynamics</w:t>
            </w:r>
          </w:p>
        </w:tc>
      </w:tr>
      <w:tr w:rsidR="00E965B1" w:rsidRPr="00EC5DF1" w14:paraId="429C6AED" w14:textId="77777777" w:rsidTr="00AB2053">
        <w:trPr>
          <w:trHeight w:val="325"/>
        </w:trPr>
        <w:tc>
          <w:tcPr>
            <w:tcW w:w="3431" w:type="dxa"/>
          </w:tcPr>
          <w:p w14:paraId="6163A347" w14:textId="4A3D1C24" w:rsidR="00E965B1" w:rsidRPr="00526AE2" w:rsidRDefault="00E965B1" w:rsidP="00AB2053">
            <w:pPr>
              <w:tabs>
                <w:tab w:val="center" w:pos="6979"/>
              </w:tabs>
            </w:pPr>
            <w:r w:rsidRPr="00526AE2">
              <w:t>University of Liverpool</w:t>
            </w:r>
          </w:p>
          <w:p w14:paraId="21E0240A" w14:textId="77777777" w:rsidR="00E965B1" w:rsidRPr="00905D6F" w:rsidRDefault="00E965B1" w:rsidP="00AB2053">
            <w:pPr>
              <w:tabs>
                <w:tab w:val="center" w:pos="6979"/>
              </w:tabs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</w:tcPr>
          <w:p w14:paraId="5B7F8148" w14:textId="266480B8" w:rsidR="00E965B1" w:rsidRPr="00526AE2" w:rsidRDefault="00E965B1" w:rsidP="00AB2053">
            <w:pPr>
              <w:tabs>
                <w:tab w:val="center" w:pos="6979"/>
              </w:tabs>
            </w:pPr>
            <w:r w:rsidRPr="00526AE2">
              <w:t>University of Liverpool</w:t>
            </w:r>
            <w:r w:rsidR="00AB2053">
              <w:t xml:space="preserve">, </w:t>
            </w:r>
            <w:r w:rsidRPr="00526AE2">
              <w:t>AstraZeneca</w:t>
            </w:r>
          </w:p>
          <w:p w14:paraId="2ED34E9A" w14:textId="77777777" w:rsidR="00E965B1" w:rsidRPr="00905D6F" w:rsidRDefault="00E965B1" w:rsidP="00AB2053">
            <w:pPr>
              <w:tabs>
                <w:tab w:val="center" w:pos="6979"/>
              </w:tabs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82" w:type="dxa"/>
            <w:vAlign w:val="center"/>
          </w:tcPr>
          <w:p w14:paraId="7B7B41E8" w14:textId="1BDB13B9" w:rsidR="00E965B1" w:rsidRPr="00905D6F" w:rsidRDefault="00E965B1" w:rsidP="00E965B1">
            <w:pPr>
              <w:tabs>
                <w:tab w:val="center" w:pos="6979"/>
              </w:tabs>
              <w:rPr>
                <w:rFonts w:ascii="Calibri" w:hAnsi="Calibri" w:cs="Calibri"/>
                <w:color w:val="000000"/>
              </w:rPr>
            </w:pPr>
            <w:r w:rsidRPr="00B356AF">
              <w:t>Mechanistic investigation of immunotoxicity associated with Adeno-associated virus vector-based gene therapy</w:t>
            </w:r>
          </w:p>
        </w:tc>
      </w:tr>
      <w:tr w:rsidR="00E965B1" w:rsidRPr="00EC5DF1" w14:paraId="2B566428" w14:textId="77777777" w:rsidTr="00AB2053">
        <w:trPr>
          <w:trHeight w:val="325"/>
        </w:trPr>
        <w:tc>
          <w:tcPr>
            <w:tcW w:w="3431" w:type="dxa"/>
          </w:tcPr>
          <w:p w14:paraId="1770A71D" w14:textId="0981754D" w:rsidR="00E965B1" w:rsidRPr="00F144F3" w:rsidRDefault="00E965B1" w:rsidP="00AB2053">
            <w:pPr>
              <w:tabs>
                <w:tab w:val="center" w:pos="6979"/>
              </w:tabs>
            </w:pPr>
            <w:r w:rsidRPr="00F144F3">
              <w:t>MRC Toxicology Unit</w:t>
            </w:r>
          </w:p>
          <w:p w14:paraId="55A570FD" w14:textId="77777777" w:rsidR="00E965B1" w:rsidRPr="00905D6F" w:rsidRDefault="00E965B1" w:rsidP="00AB2053">
            <w:pPr>
              <w:tabs>
                <w:tab w:val="center" w:pos="6979"/>
              </w:tabs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</w:tcPr>
          <w:p w14:paraId="458F9141" w14:textId="42B21A1B" w:rsidR="00E965B1" w:rsidRPr="00F144F3" w:rsidRDefault="00E965B1" w:rsidP="00AB2053">
            <w:pPr>
              <w:tabs>
                <w:tab w:val="center" w:pos="6979"/>
              </w:tabs>
            </w:pPr>
            <w:r w:rsidRPr="00F144F3">
              <w:t>University of Oxford</w:t>
            </w:r>
            <w:r w:rsidR="00AB2053">
              <w:t xml:space="preserve">, </w:t>
            </w:r>
            <w:r w:rsidRPr="00F144F3">
              <w:t>AstraZeneca</w:t>
            </w:r>
          </w:p>
          <w:p w14:paraId="46EC72B3" w14:textId="77777777" w:rsidR="00E965B1" w:rsidRPr="00905D6F" w:rsidRDefault="00E965B1" w:rsidP="00AB2053">
            <w:pPr>
              <w:tabs>
                <w:tab w:val="center" w:pos="6979"/>
              </w:tabs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82" w:type="dxa"/>
            <w:vAlign w:val="center"/>
          </w:tcPr>
          <w:p w14:paraId="3E905E53" w14:textId="77777777" w:rsidR="00E965B1" w:rsidRDefault="00E965B1" w:rsidP="00E965B1">
            <w:pPr>
              <w:tabs>
                <w:tab w:val="center" w:pos="6979"/>
              </w:tabs>
            </w:pPr>
            <w:r>
              <w:t>Optimizing mRNA Therapeutics: Investigating Off-Target Antigen Expression, Immune Responses,</w:t>
            </w:r>
          </w:p>
          <w:p w14:paraId="77F9203B" w14:textId="437F5FE2" w:rsidR="00E965B1" w:rsidRPr="00905D6F" w:rsidRDefault="00E965B1" w:rsidP="00E965B1">
            <w:pPr>
              <w:tabs>
                <w:tab w:val="center" w:pos="6979"/>
              </w:tabs>
              <w:rPr>
                <w:rFonts w:ascii="Calibri" w:hAnsi="Calibri" w:cs="Calibri"/>
                <w:color w:val="000000"/>
              </w:rPr>
            </w:pPr>
            <w:r>
              <w:t>and Dose Interval Effects</w:t>
            </w:r>
          </w:p>
        </w:tc>
      </w:tr>
      <w:tr w:rsidR="00987B1E" w:rsidRPr="00EC5DF1" w14:paraId="22A3545C" w14:textId="77777777" w:rsidTr="001870B4">
        <w:trPr>
          <w:trHeight w:val="325"/>
        </w:trPr>
        <w:tc>
          <w:tcPr>
            <w:tcW w:w="3431" w:type="dxa"/>
            <w:shd w:val="clear" w:color="auto" w:fill="5F497A" w:themeFill="accent4" w:themeFillShade="BF"/>
            <w:vAlign w:val="center"/>
          </w:tcPr>
          <w:p w14:paraId="4DAE3946" w14:textId="2B3622D1" w:rsidR="00987B1E" w:rsidRPr="00144FEA" w:rsidRDefault="00987B1E" w:rsidP="00144FEA">
            <w:pPr>
              <w:tabs>
                <w:tab w:val="center" w:pos="6979"/>
              </w:tabs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202</w:t>
            </w:r>
            <w:r w:rsidR="00653846">
              <w:rPr>
                <w:rFonts w:ascii="Arial" w:hAnsi="Arial" w:cs="Arial"/>
                <w:b/>
                <w:color w:val="FFFFFF" w:themeColor="background1"/>
              </w:rPr>
              <w:t>4</w:t>
            </w:r>
          </w:p>
        </w:tc>
        <w:tc>
          <w:tcPr>
            <w:tcW w:w="3827" w:type="dxa"/>
            <w:shd w:val="clear" w:color="auto" w:fill="5F497A" w:themeFill="accent4" w:themeFillShade="BF"/>
            <w:vAlign w:val="center"/>
          </w:tcPr>
          <w:p w14:paraId="2FD81DE1" w14:textId="77777777" w:rsidR="00987B1E" w:rsidRPr="00144FEA" w:rsidRDefault="00987B1E" w:rsidP="00144FEA">
            <w:pPr>
              <w:tabs>
                <w:tab w:val="center" w:pos="6979"/>
              </w:tabs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6582" w:type="dxa"/>
            <w:shd w:val="clear" w:color="auto" w:fill="5F497A" w:themeFill="accent4" w:themeFillShade="BF"/>
            <w:vAlign w:val="center"/>
          </w:tcPr>
          <w:p w14:paraId="10FF065A" w14:textId="77777777" w:rsidR="00987B1E" w:rsidRPr="00144FEA" w:rsidRDefault="00987B1E" w:rsidP="00144FEA">
            <w:pPr>
              <w:tabs>
                <w:tab w:val="center" w:pos="6979"/>
              </w:tabs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  <w:tr w:rsidR="00653846" w:rsidRPr="00EC5DF1" w14:paraId="3FDF12FB" w14:textId="77777777" w:rsidTr="00653846">
        <w:trPr>
          <w:trHeight w:val="325"/>
        </w:trPr>
        <w:tc>
          <w:tcPr>
            <w:tcW w:w="3431" w:type="dxa"/>
            <w:vAlign w:val="center"/>
          </w:tcPr>
          <w:p w14:paraId="0271059F" w14:textId="77777777" w:rsidR="009C3C8A" w:rsidRPr="009C3C8A" w:rsidRDefault="009C3C8A" w:rsidP="009C3C8A">
            <w:pPr>
              <w:tabs>
                <w:tab w:val="center" w:pos="6979"/>
              </w:tabs>
              <w:rPr>
                <w:rFonts w:ascii="Calibri" w:hAnsi="Calibri" w:cs="Calibri"/>
                <w:color w:val="000000"/>
              </w:rPr>
            </w:pPr>
            <w:r w:rsidRPr="009C3C8A">
              <w:rPr>
                <w:rFonts w:ascii="Calibri" w:hAnsi="Calibri" w:cs="Calibri"/>
                <w:color w:val="000000"/>
              </w:rPr>
              <w:t>Queen Mary University of London</w:t>
            </w:r>
          </w:p>
          <w:p w14:paraId="249FA40F" w14:textId="5554ECF4" w:rsidR="00653846" w:rsidRPr="00653846" w:rsidRDefault="00653846" w:rsidP="009C3C8A">
            <w:pPr>
              <w:tabs>
                <w:tab w:val="center" w:pos="6979"/>
              </w:tabs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vAlign w:val="center"/>
          </w:tcPr>
          <w:p w14:paraId="1B659AC9" w14:textId="26AB136A" w:rsidR="00653846" w:rsidRPr="00653846" w:rsidRDefault="009C3C8A" w:rsidP="009C3C8A">
            <w:pPr>
              <w:tabs>
                <w:tab w:val="center" w:pos="6979"/>
              </w:tabs>
              <w:rPr>
                <w:rFonts w:ascii="Calibri" w:hAnsi="Calibri" w:cs="Calibri"/>
                <w:color w:val="000000"/>
              </w:rPr>
            </w:pPr>
            <w:r w:rsidRPr="009C3C8A">
              <w:rPr>
                <w:rFonts w:ascii="Calibri" w:hAnsi="Calibri" w:cs="Calibri"/>
                <w:color w:val="000000"/>
              </w:rPr>
              <w:t>Queen Mary University of London</w:t>
            </w:r>
            <w:r>
              <w:rPr>
                <w:rFonts w:ascii="Calibri" w:hAnsi="Calibri" w:cs="Calibri"/>
                <w:color w:val="000000"/>
              </w:rPr>
              <w:t>, AstraZeneca</w:t>
            </w:r>
          </w:p>
        </w:tc>
        <w:tc>
          <w:tcPr>
            <w:tcW w:w="6582" w:type="dxa"/>
            <w:vAlign w:val="center"/>
          </w:tcPr>
          <w:p w14:paraId="23EFC180" w14:textId="5E7C06F4" w:rsidR="00653846" w:rsidRPr="00653846" w:rsidRDefault="009C3C8A" w:rsidP="00144FEA">
            <w:pPr>
              <w:tabs>
                <w:tab w:val="center" w:pos="6979"/>
              </w:tabs>
              <w:rPr>
                <w:rFonts w:ascii="Calibri" w:hAnsi="Calibri" w:cs="Calibri"/>
                <w:color w:val="000000"/>
              </w:rPr>
            </w:pPr>
            <w:r w:rsidRPr="009C3C8A">
              <w:rPr>
                <w:rFonts w:ascii="Calibri" w:hAnsi="Calibri" w:cs="Calibri"/>
                <w:color w:val="000000"/>
              </w:rPr>
              <w:t>Unravelling mechanisms of drug-induced myocarditis using human cardiovascular-chip models integrated with immune cells</w:t>
            </w:r>
          </w:p>
        </w:tc>
      </w:tr>
      <w:tr w:rsidR="00653846" w:rsidRPr="00EC5DF1" w14:paraId="38439862" w14:textId="77777777" w:rsidTr="00653846">
        <w:trPr>
          <w:trHeight w:val="325"/>
        </w:trPr>
        <w:tc>
          <w:tcPr>
            <w:tcW w:w="3431" w:type="dxa"/>
            <w:vAlign w:val="center"/>
          </w:tcPr>
          <w:p w14:paraId="19A70CFB" w14:textId="77777777" w:rsidR="00653846" w:rsidRDefault="00DD71F9" w:rsidP="00144FEA">
            <w:pPr>
              <w:tabs>
                <w:tab w:val="center" w:pos="6979"/>
              </w:tabs>
              <w:rPr>
                <w:rFonts w:ascii="Calibri" w:hAnsi="Calibri" w:cs="Calibri"/>
                <w:color w:val="000000"/>
              </w:rPr>
            </w:pPr>
            <w:r w:rsidRPr="00DD71F9">
              <w:rPr>
                <w:rFonts w:ascii="Calibri" w:hAnsi="Calibri" w:cs="Calibri"/>
                <w:color w:val="000000"/>
              </w:rPr>
              <w:t>University of Cambridge</w:t>
            </w:r>
          </w:p>
          <w:p w14:paraId="33F9AE53" w14:textId="6AE2CB88" w:rsidR="003C7D45" w:rsidRPr="00653846" w:rsidRDefault="003C7D45" w:rsidP="00144FEA">
            <w:pPr>
              <w:tabs>
                <w:tab w:val="center" w:pos="6979"/>
              </w:tabs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vAlign w:val="center"/>
          </w:tcPr>
          <w:p w14:paraId="38C7FA86" w14:textId="77777777" w:rsidR="00653846" w:rsidRDefault="003179BE" w:rsidP="00144FEA">
            <w:pPr>
              <w:tabs>
                <w:tab w:val="center" w:pos="6979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University of Cambridge, AstraZeneca</w:t>
            </w:r>
          </w:p>
          <w:p w14:paraId="0CA16279" w14:textId="200D4976" w:rsidR="003C7D45" w:rsidRPr="00653846" w:rsidRDefault="003C7D45" w:rsidP="00144FEA">
            <w:pPr>
              <w:tabs>
                <w:tab w:val="center" w:pos="6979"/>
              </w:tabs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82" w:type="dxa"/>
            <w:vAlign w:val="center"/>
          </w:tcPr>
          <w:p w14:paraId="264B77E7" w14:textId="0C780CF4" w:rsidR="00653846" w:rsidRPr="00653846" w:rsidRDefault="003179BE" w:rsidP="00144FEA">
            <w:pPr>
              <w:tabs>
                <w:tab w:val="center" w:pos="6979"/>
              </w:tabs>
              <w:rPr>
                <w:rFonts w:ascii="Calibri" w:hAnsi="Calibri" w:cs="Calibri"/>
                <w:color w:val="000000"/>
              </w:rPr>
            </w:pPr>
            <w:r w:rsidRPr="00732960">
              <w:t xml:space="preserve">Understanding how targeted protein degradation alters the cellular </w:t>
            </w:r>
            <w:proofErr w:type="spellStart"/>
            <w:r w:rsidRPr="00732960">
              <w:t>ubiquinome</w:t>
            </w:r>
            <w:proofErr w:type="spellEnd"/>
            <w:r w:rsidRPr="00732960">
              <w:t xml:space="preserve"> and its subcellular localisation</w:t>
            </w:r>
          </w:p>
        </w:tc>
      </w:tr>
      <w:tr w:rsidR="00653846" w:rsidRPr="00EC5DF1" w14:paraId="1919F064" w14:textId="77777777" w:rsidTr="00653846">
        <w:trPr>
          <w:trHeight w:val="325"/>
        </w:trPr>
        <w:tc>
          <w:tcPr>
            <w:tcW w:w="3431" w:type="dxa"/>
            <w:vAlign w:val="center"/>
          </w:tcPr>
          <w:p w14:paraId="4B03B489" w14:textId="77777777" w:rsidR="00653846" w:rsidRDefault="00AB4A43" w:rsidP="00144FEA">
            <w:pPr>
              <w:tabs>
                <w:tab w:val="center" w:pos="6979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MRC Toxicology Unit</w:t>
            </w:r>
          </w:p>
          <w:p w14:paraId="189D2B32" w14:textId="551613D5" w:rsidR="00AB4A43" w:rsidRPr="00653846" w:rsidRDefault="00AB4A43" w:rsidP="00144FEA">
            <w:pPr>
              <w:tabs>
                <w:tab w:val="center" w:pos="6979"/>
              </w:tabs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vAlign w:val="center"/>
          </w:tcPr>
          <w:p w14:paraId="582C06B4" w14:textId="77777777" w:rsidR="00653846" w:rsidRDefault="00AB4A43" w:rsidP="00144FEA">
            <w:pPr>
              <w:tabs>
                <w:tab w:val="center" w:pos="6979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AstraZeneca</w:t>
            </w:r>
          </w:p>
          <w:p w14:paraId="608EEB8A" w14:textId="6831C3A9" w:rsidR="00AB4A43" w:rsidRPr="00653846" w:rsidRDefault="00AB4A43" w:rsidP="00144FEA">
            <w:pPr>
              <w:tabs>
                <w:tab w:val="center" w:pos="6979"/>
              </w:tabs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82" w:type="dxa"/>
            <w:vAlign w:val="center"/>
          </w:tcPr>
          <w:p w14:paraId="65EEE6D2" w14:textId="78B17E67" w:rsidR="00653846" w:rsidRPr="00653846" w:rsidRDefault="00AB4A43" w:rsidP="00144FEA">
            <w:pPr>
              <w:tabs>
                <w:tab w:val="center" w:pos="6979"/>
              </w:tabs>
              <w:rPr>
                <w:rFonts w:ascii="Calibri" w:hAnsi="Calibri" w:cs="Calibri"/>
                <w:color w:val="000000"/>
              </w:rPr>
            </w:pPr>
            <w:r w:rsidRPr="00732960">
              <w:t>Unravelling and predicting toxicity of Antibody Drug Conjugates in the lung using genome-wide multi-omics and CRISPR-Cas9</w:t>
            </w:r>
          </w:p>
        </w:tc>
      </w:tr>
      <w:tr w:rsidR="00653846" w:rsidRPr="00EC5DF1" w14:paraId="624FA3A1" w14:textId="77777777" w:rsidTr="00653846">
        <w:trPr>
          <w:trHeight w:val="325"/>
        </w:trPr>
        <w:tc>
          <w:tcPr>
            <w:tcW w:w="3431" w:type="dxa"/>
            <w:vAlign w:val="center"/>
          </w:tcPr>
          <w:p w14:paraId="4D6933B3" w14:textId="77777777" w:rsidR="00F83EF5" w:rsidRDefault="00F83EF5" w:rsidP="00F83EF5">
            <w:pPr>
              <w:tabs>
                <w:tab w:val="center" w:pos="6979"/>
              </w:tabs>
            </w:pPr>
            <w:r w:rsidRPr="00732960">
              <w:t>University of Liverpool</w:t>
            </w:r>
          </w:p>
          <w:p w14:paraId="52981FC9" w14:textId="77777777" w:rsidR="00653846" w:rsidRPr="00653846" w:rsidRDefault="00653846" w:rsidP="00144FEA">
            <w:pPr>
              <w:tabs>
                <w:tab w:val="center" w:pos="6979"/>
              </w:tabs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vAlign w:val="center"/>
          </w:tcPr>
          <w:p w14:paraId="1CDC2439" w14:textId="77777777" w:rsidR="00653846" w:rsidRDefault="00B42E9D" w:rsidP="00144FEA">
            <w:pPr>
              <w:tabs>
                <w:tab w:val="center" w:pos="6979"/>
              </w:tabs>
            </w:pPr>
            <w:r w:rsidRPr="00732960">
              <w:t>University of Edinburgh</w:t>
            </w:r>
            <w:r>
              <w:t>, AstraZeneca</w:t>
            </w:r>
          </w:p>
          <w:p w14:paraId="31084620" w14:textId="050145B7" w:rsidR="00B42E9D" w:rsidRPr="00653846" w:rsidRDefault="00B42E9D" w:rsidP="00144FEA">
            <w:pPr>
              <w:tabs>
                <w:tab w:val="center" w:pos="6979"/>
              </w:tabs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82" w:type="dxa"/>
            <w:vAlign w:val="center"/>
          </w:tcPr>
          <w:p w14:paraId="257706E1" w14:textId="4C4B2A61" w:rsidR="00653846" w:rsidRPr="00653846" w:rsidRDefault="00FB5C02" w:rsidP="00144FEA">
            <w:pPr>
              <w:tabs>
                <w:tab w:val="center" w:pos="6979"/>
              </w:tabs>
              <w:rPr>
                <w:rFonts w:ascii="Calibri" w:hAnsi="Calibri" w:cs="Calibri"/>
                <w:color w:val="000000"/>
              </w:rPr>
            </w:pPr>
            <w:r w:rsidRPr="00732960">
              <w:t>A novel approach to predicting drug-induced liver injury using circulating free DNA</w:t>
            </w:r>
          </w:p>
        </w:tc>
      </w:tr>
      <w:tr w:rsidR="00653846" w:rsidRPr="00EC5DF1" w14:paraId="26C57C1A" w14:textId="77777777" w:rsidTr="001870B4">
        <w:trPr>
          <w:trHeight w:val="325"/>
        </w:trPr>
        <w:tc>
          <w:tcPr>
            <w:tcW w:w="3431" w:type="dxa"/>
            <w:shd w:val="clear" w:color="auto" w:fill="5F497A" w:themeFill="accent4" w:themeFillShade="BF"/>
            <w:vAlign w:val="center"/>
          </w:tcPr>
          <w:p w14:paraId="6DAA75E3" w14:textId="0658DE33" w:rsidR="00653846" w:rsidRDefault="00653846" w:rsidP="00144FEA">
            <w:pPr>
              <w:tabs>
                <w:tab w:val="center" w:pos="6979"/>
              </w:tabs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2023</w:t>
            </w:r>
          </w:p>
        </w:tc>
        <w:tc>
          <w:tcPr>
            <w:tcW w:w="3827" w:type="dxa"/>
            <w:shd w:val="clear" w:color="auto" w:fill="5F497A" w:themeFill="accent4" w:themeFillShade="BF"/>
            <w:vAlign w:val="center"/>
          </w:tcPr>
          <w:p w14:paraId="3F7984EB" w14:textId="77777777" w:rsidR="00653846" w:rsidRPr="00144FEA" w:rsidRDefault="00653846" w:rsidP="00144FEA">
            <w:pPr>
              <w:tabs>
                <w:tab w:val="center" w:pos="6979"/>
              </w:tabs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6582" w:type="dxa"/>
            <w:shd w:val="clear" w:color="auto" w:fill="5F497A" w:themeFill="accent4" w:themeFillShade="BF"/>
            <w:vAlign w:val="center"/>
          </w:tcPr>
          <w:p w14:paraId="33ED042A" w14:textId="77777777" w:rsidR="00653846" w:rsidRPr="00144FEA" w:rsidRDefault="00653846" w:rsidP="00144FEA">
            <w:pPr>
              <w:tabs>
                <w:tab w:val="center" w:pos="6979"/>
              </w:tabs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  <w:tr w:rsidR="00CB10A2" w:rsidRPr="00EC5DF1" w14:paraId="64D39C6A" w14:textId="77777777" w:rsidTr="00BA76A8">
        <w:trPr>
          <w:trHeight w:val="315"/>
        </w:trPr>
        <w:tc>
          <w:tcPr>
            <w:tcW w:w="3431" w:type="dxa"/>
          </w:tcPr>
          <w:p w14:paraId="1A401034" w14:textId="36582541" w:rsidR="00CB10A2" w:rsidRPr="00C303BB" w:rsidRDefault="00CB10A2" w:rsidP="00CB10A2">
            <w:pPr>
              <w:tabs>
                <w:tab w:val="center" w:pos="6979"/>
              </w:tabs>
              <w:rPr>
                <w:rStyle w:val="normaltextrun"/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MRC Toxicology Unit</w:t>
            </w:r>
          </w:p>
        </w:tc>
        <w:tc>
          <w:tcPr>
            <w:tcW w:w="3827" w:type="dxa"/>
          </w:tcPr>
          <w:p w14:paraId="26BA514A" w14:textId="6E9A115E" w:rsidR="00CB10A2" w:rsidRDefault="00CB10A2" w:rsidP="00CB10A2">
            <w:pPr>
              <w:tabs>
                <w:tab w:val="center" w:pos="6979"/>
              </w:tabs>
              <w:rPr>
                <w:rStyle w:val="normaltextrun"/>
                <w:rFonts w:ascii="Calibri" w:hAnsi="Calibri" w:cs="Calibri"/>
              </w:rPr>
            </w:pPr>
            <w:r w:rsidRPr="00BF1FD7">
              <w:t>University of Liverpool</w:t>
            </w:r>
          </w:p>
        </w:tc>
        <w:tc>
          <w:tcPr>
            <w:tcW w:w="6582" w:type="dxa"/>
          </w:tcPr>
          <w:p w14:paraId="6D21CD42" w14:textId="77777777" w:rsidR="00CB10A2" w:rsidRDefault="00CB10A2" w:rsidP="00CB10A2">
            <w:pPr>
              <w:tabs>
                <w:tab w:val="center" w:pos="6979"/>
              </w:tabs>
            </w:pPr>
            <w:r w:rsidRPr="00BF1FD7">
              <w:t xml:space="preserve">Defining the </w:t>
            </w:r>
            <w:proofErr w:type="gramStart"/>
            <w:r w:rsidRPr="00BF1FD7">
              <w:t>off-targets</w:t>
            </w:r>
            <w:proofErr w:type="gramEnd"/>
            <w:r w:rsidRPr="00BF1FD7">
              <w:t xml:space="preserve"> of antibodies produced by vaccines</w:t>
            </w:r>
          </w:p>
          <w:p w14:paraId="54CD58C7" w14:textId="0820CB3E" w:rsidR="00C61D28" w:rsidRDefault="00C61D28" w:rsidP="00CB10A2">
            <w:pPr>
              <w:tabs>
                <w:tab w:val="center" w:pos="6979"/>
              </w:tabs>
              <w:rPr>
                <w:rStyle w:val="normaltextrun"/>
                <w:rFonts w:ascii="Calibri" w:hAnsi="Calibri" w:cs="Calibri"/>
              </w:rPr>
            </w:pPr>
          </w:p>
        </w:tc>
      </w:tr>
      <w:tr w:rsidR="00CB10A2" w:rsidRPr="00EC5DF1" w14:paraId="234AFD06" w14:textId="77777777" w:rsidTr="001870B4">
        <w:trPr>
          <w:trHeight w:val="501"/>
        </w:trPr>
        <w:tc>
          <w:tcPr>
            <w:tcW w:w="3431" w:type="dxa"/>
          </w:tcPr>
          <w:p w14:paraId="25EDBAA7" w14:textId="3023A849" w:rsidR="00CB10A2" w:rsidRPr="0061039F" w:rsidRDefault="00CB10A2" w:rsidP="00CB10A2">
            <w:pPr>
              <w:tabs>
                <w:tab w:val="center" w:pos="6979"/>
              </w:tabs>
              <w:rPr>
                <w:rStyle w:val="normaltextrun"/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MRC Toxicology </w:t>
            </w:r>
          </w:p>
        </w:tc>
        <w:tc>
          <w:tcPr>
            <w:tcW w:w="3827" w:type="dxa"/>
          </w:tcPr>
          <w:p w14:paraId="2C1E5031" w14:textId="31083122" w:rsidR="00CB10A2" w:rsidRPr="0061039F" w:rsidRDefault="00CB10A2" w:rsidP="0061039F">
            <w:pPr>
              <w:rPr>
                <w:rStyle w:val="normaltextrun"/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AstraZeneca, NATA</w:t>
            </w:r>
          </w:p>
        </w:tc>
        <w:tc>
          <w:tcPr>
            <w:tcW w:w="6582" w:type="dxa"/>
          </w:tcPr>
          <w:p w14:paraId="21F73222" w14:textId="11066835" w:rsidR="00CB10A2" w:rsidRDefault="00CB10A2" w:rsidP="00CB10A2">
            <w:pPr>
              <w:tabs>
                <w:tab w:val="center" w:pos="6979"/>
              </w:tabs>
              <w:rPr>
                <w:rStyle w:val="normaltextrun"/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Understanding and predicting the toxicity of nucleic acid therapeutics in the healthy and diseased heart</w:t>
            </w:r>
          </w:p>
        </w:tc>
      </w:tr>
      <w:tr w:rsidR="00CB10A2" w:rsidRPr="00EC5DF1" w14:paraId="205798EA" w14:textId="77777777" w:rsidTr="001870B4">
        <w:trPr>
          <w:trHeight w:val="501"/>
        </w:trPr>
        <w:tc>
          <w:tcPr>
            <w:tcW w:w="3431" w:type="dxa"/>
          </w:tcPr>
          <w:p w14:paraId="31464553" w14:textId="64B57A55" w:rsidR="00CB10A2" w:rsidRDefault="00CB10A2" w:rsidP="00CB10A2">
            <w:pPr>
              <w:rPr>
                <w:rFonts w:ascii="Calibri" w:hAnsi="Calibri" w:cs="Calibri"/>
                <w:color w:val="000000"/>
              </w:rPr>
            </w:pPr>
            <w:r w:rsidRPr="006D4ED4">
              <w:rPr>
                <w:rFonts w:ascii="Calibri" w:hAnsi="Calibri" w:cs="Calibri"/>
                <w:color w:val="000000"/>
              </w:rPr>
              <w:lastRenderedPageBreak/>
              <w:t>UEA</w:t>
            </w:r>
          </w:p>
          <w:p w14:paraId="733F012C" w14:textId="77777777" w:rsidR="00CB10A2" w:rsidRPr="00C303BB" w:rsidRDefault="00CB10A2" w:rsidP="00CB10A2">
            <w:pPr>
              <w:tabs>
                <w:tab w:val="center" w:pos="6979"/>
              </w:tabs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6FDE4FAD" w14:textId="77777777" w:rsidR="00CB10A2" w:rsidRDefault="00CB10A2" w:rsidP="00CB10A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AstraZeneca</w:t>
            </w:r>
          </w:p>
          <w:p w14:paraId="531CF2B7" w14:textId="77777777" w:rsidR="00CB10A2" w:rsidRDefault="00CB10A2" w:rsidP="00CB10A2">
            <w:pPr>
              <w:tabs>
                <w:tab w:val="center" w:pos="6979"/>
              </w:tabs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6582" w:type="dxa"/>
          </w:tcPr>
          <w:p w14:paraId="18982888" w14:textId="3EA38779" w:rsidR="00CB10A2" w:rsidRDefault="00CB10A2" w:rsidP="00CB10A2">
            <w:pPr>
              <w:tabs>
                <w:tab w:val="center" w:pos="6979"/>
              </w:tabs>
              <w:rPr>
                <w:rStyle w:val="normaltextrun"/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Generating a toxicological screening system to understand and predict drug-induced pulmonary hypertension</w:t>
            </w:r>
          </w:p>
        </w:tc>
      </w:tr>
      <w:tr w:rsidR="00CB10A2" w:rsidRPr="00EC5DF1" w14:paraId="7BF5CE85" w14:textId="77777777" w:rsidTr="001870B4">
        <w:trPr>
          <w:trHeight w:val="501"/>
        </w:trPr>
        <w:tc>
          <w:tcPr>
            <w:tcW w:w="3431" w:type="dxa"/>
          </w:tcPr>
          <w:p w14:paraId="22910EE4" w14:textId="77777777" w:rsidR="00CB10A2" w:rsidRPr="00864036" w:rsidRDefault="00CB10A2" w:rsidP="00CB10A2">
            <w:pPr>
              <w:rPr>
                <w:rFonts w:ascii="Calibri" w:hAnsi="Calibri" w:cs="Calibri"/>
                <w:color w:val="000000"/>
              </w:rPr>
            </w:pPr>
            <w:r>
              <w:t>University of Liverpool</w:t>
            </w:r>
          </w:p>
          <w:p w14:paraId="72C62877" w14:textId="77777777" w:rsidR="00CB10A2" w:rsidRPr="00C303BB" w:rsidRDefault="00CB10A2" w:rsidP="00CB10A2">
            <w:pPr>
              <w:tabs>
                <w:tab w:val="center" w:pos="6979"/>
              </w:tabs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31F503D1" w14:textId="77777777" w:rsidR="00CB10A2" w:rsidRPr="00E2377D" w:rsidRDefault="00CB10A2" w:rsidP="00CB10A2">
            <w:pPr>
              <w:rPr>
                <w:rFonts w:ascii="Calibri" w:hAnsi="Calibri" w:cs="Calibri"/>
                <w:color w:val="000000"/>
              </w:rPr>
            </w:pPr>
            <w:r w:rsidRPr="00E2377D">
              <w:rPr>
                <w:rFonts w:ascii="Calibri" w:hAnsi="Calibri" w:cs="Calibri"/>
                <w:color w:val="000000"/>
              </w:rPr>
              <w:t>University of Liverpool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E2377D">
              <w:rPr>
                <w:rFonts w:ascii="Calibri" w:hAnsi="Calibri" w:cs="Calibri"/>
                <w:color w:val="000000"/>
              </w:rPr>
              <w:t>GSK</w:t>
            </w:r>
          </w:p>
          <w:p w14:paraId="370B5BA3" w14:textId="77777777" w:rsidR="00CB10A2" w:rsidRDefault="00CB10A2" w:rsidP="00CB10A2">
            <w:pPr>
              <w:tabs>
                <w:tab w:val="center" w:pos="6979"/>
              </w:tabs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6582" w:type="dxa"/>
          </w:tcPr>
          <w:p w14:paraId="49C7402D" w14:textId="1FA02B3D" w:rsidR="00CB10A2" w:rsidRDefault="00CB10A2" w:rsidP="00CB10A2">
            <w:pPr>
              <w:tabs>
                <w:tab w:val="center" w:pos="6979"/>
              </w:tabs>
              <w:rPr>
                <w:rStyle w:val="normaltextrun"/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Establishing a systems toxicology approach for drug safety assessment in the 21st century: in vitro to in vivo extrapolation of hepatic metabolism and stress responses</w:t>
            </w:r>
          </w:p>
        </w:tc>
      </w:tr>
      <w:tr w:rsidR="00CB10A2" w:rsidRPr="00EC5DF1" w14:paraId="5CD28EBC" w14:textId="77777777" w:rsidTr="001870B4">
        <w:trPr>
          <w:trHeight w:val="501"/>
        </w:trPr>
        <w:tc>
          <w:tcPr>
            <w:tcW w:w="3431" w:type="dxa"/>
          </w:tcPr>
          <w:p w14:paraId="5131EAF0" w14:textId="5EA7937B" w:rsidR="00CB10A2" w:rsidRPr="00C303BB" w:rsidRDefault="00CB10A2" w:rsidP="00CB10A2">
            <w:pPr>
              <w:tabs>
                <w:tab w:val="center" w:pos="6979"/>
              </w:tabs>
              <w:rPr>
                <w:rStyle w:val="normaltextrun"/>
                <w:rFonts w:ascii="Calibri" w:hAnsi="Calibri" w:cs="Calibri"/>
              </w:rPr>
            </w:pPr>
            <w:r>
              <w:t>MRC Toxicology Unit</w:t>
            </w:r>
          </w:p>
        </w:tc>
        <w:tc>
          <w:tcPr>
            <w:tcW w:w="3827" w:type="dxa"/>
          </w:tcPr>
          <w:p w14:paraId="5DD1CB18" w14:textId="77777777" w:rsidR="00CB10A2" w:rsidRPr="00984C22" w:rsidRDefault="00CB10A2" w:rsidP="00CB10A2">
            <w:pPr>
              <w:rPr>
                <w:rFonts w:ascii="Calibri" w:hAnsi="Calibri" w:cs="Calibri"/>
                <w:color w:val="000000"/>
              </w:rPr>
            </w:pPr>
            <w:r w:rsidRPr="00984C22">
              <w:rPr>
                <w:rFonts w:ascii="Calibri" w:hAnsi="Calibri" w:cs="Calibri"/>
                <w:color w:val="000000"/>
              </w:rPr>
              <w:t>AstraZeneca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984C22">
              <w:rPr>
                <w:rFonts w:ascii="Calibri" w:hAnsi="Calibri" w:cs="Calibri"/>
                <w:color w:val="000000"/>
              </w:rPr>
              <w:t>MRC Toxicology Unit</w:t>
            </w:r>
          </w:p>
          <w:p w14:paraId="030EDDBF" w14:textId="77777777" w:rsidR="00CB10A2" w:rsidRDefault="00CB10A2" w:rsidP="00CB10A2">
            <w:pPr>
              <w:tabs>
                <w:tab w:val="center" w:pos="6979"/>
              </w:tabs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6582" w:type="dxa"/>
          </w:tcPr>
          <w:p w14:paraId="546949C2" w14:textId="77777777" w:rsidR="00CB10A2" w:rsidRDefault="00CB10A2" w:rsidP="00CB10A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Impact of microbiome metabolism on drug-induced liver toxicity</w:t>
            </w:r>
          </w:p>
          <w:p w14:paraId="6C5D92B8" w14:textId="77777777" w:rsidR="00CB10A2" w:rsidRDefault="00CB10A2" w:rsidP="00CB10A2">
            <w:pPr>
              <w:tabs>
                <w:tab w:val="center" w:pos="6979"/>
              </w:tabs>
              <w:rPr>
                <w:rStyle w:val="normaltextrun"/>
                <w:rFonts w:ascii="Calibri" w:hAnsi="Calibri" w:cs="Calibri"/>
              </w:rPr>
            </w:pPr>
          </w:p>
        </w:tc>
      </w:tr>
      <w:tr w:rsidR="00CB10A2" w:rsidRPr="00EC5DF1" w14:paraId="0F3754B1" w14:textId="77777777" w:rsidTr="00C61D28">
        <w:trPr>
          <w:trHeight w:val="354"/>
        </w:trPr>
        <w:tc>
          <w:tcPr>
            <w:tcW w:w="3431" w:type="dxa"/>
            <w:shd w:val="clear" w:color="auto" w:fill="5F497A" w:themeFill="accent4" w:themeFillShade="BF"/>
            <w:vAlign w:val="center"/>
          </w:tcPr>
          <w:p w14:paraId="550337E5" w14:textId="315E927D" w:rsidR="00CB10A2" w:rsidRPr="00C303BB" w:rsidRDefault="00CB10A2" w:rsidP="00CB10A2">
            <w:pPr>
              <w:tabs>
                <w:tab w:val="center" w:pos="6979"/>
              </w:tabs>
              <w:rPr>
                <w:rStyle w:val="normaltextrun"/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2022</w:t>
            </w:r>
          </w:p>
        </w:tc>
        <w:tc>
          <w:tcPr>
            <w:tcW w:w="3827" w:type="dxa"/>
            <w:shd w:val="clear" w:color="auto" w:fill="5F497A" w:themeFill="accent4" w:themeFillShade="BF"/>
            <w:vAlign w:val="center"/>
          </w:tcPr>
          <w:p w14:paraId="77842FFE" w14:textId="77777777" w:rsidR="00CB10A2" w:rsidRDefault="00CB10A2" w:rsidP="00CB10A2">
            <w:pPr>
              <w:tabs>
                <w:tab w:val="center" w:pos="6979"/>
              </w:tabs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6582" w:type="dxa"/>
            <w:shd w:val="clear" w:color="auto" w:fill="5F497A" w:themeFill="accent4" w:themeFillShade="BF"/>
            <w:vAlign w:val="center"/>
          </w:tcPr>
          <w:p w14:paraId="25322161" w14:textId="77777777" w:rsidR="00CB10A2" w:rsidRDefault="00CB10A2" w:rsidP="00CB10A2">
            <w:pPr>
              <w:tabs>
                <w:tab w:val="center" w:pos="6979"/>
              </w:tabs>
              <w:rPr>
                <w:rStyle w:val="normaltextrun"/>
                <w:rFonts w:ascii="Calibri" w:hAnsi="Calibri" w:cs="Calibri"/>
              </w:rPr>
            </w:pPr>
          </w:p>
        </w:tc>
      </w:tr>
      <w:tr w:rsidR="00CB10A2" w:rsidRPr="00EC5DF1" w14:paraId="7F50930F" w14:textId="77777777" w:rsidTr="001870B4">
        <w:trPr>
          <w:trHeight w:val="501"/>
        </w:trPr>
        <w:tc>
          <w:tcPr>
            <w:tcW w:w="3431" w:type="dxa"/>
          </w:tcPr>
          <w:p w14:paraId="786B42B6" w14:textId="2D8BA3D6" w:rsidR="00CB10A2" w:rsidRPr="00C303BB" w:rsidRDefault="00CB10A2" w:rsidP="00CB10A2">
            <w:pPr>
              <w:tabs>
                <w:tab w:val="center" w:pos="6979"/>
              </w:tabs>
              <w:rPr>
                <w:rStyle w:val="normaltextrun"/>
                <w:rFonts w:ascii="Calibri" w:hAnsi="Calibri" w:cs="Calibri"/>
              </w:rPr>
            </w:pPr>
            <w:r>
              <w:t>University of Cambridge</w:t>
            </w:r>
          </w:p>
        </w:tc>
        <w:tc>
          <w:tcPr>
            <w:tcW w:w="3827" w:type="dxa"/>
          </w:tcPr>
          <w:p w14:paraId="45EB3D9F" w14:textId="61191CE3" w:rsidR="00CB10A2" w:rsidRDefault="00CB10A2" w:rsidP="00CB10A2">
            <w:pPr>
              <w:tabs>
                <w:tab w:val="center" w:pos="6979"/>
              </w:tabs>
              <w:rPr>
                <w:rStyle w:val="normaltextrun"/>
                <w:rFonts w:ascii="Calibri" w:hAnsi="Calibri" w:cs="Calibri"/>
              </w:rPr>
            </w:pPr>
            <w:r>
              <w:t>AstraZeneca</w:t>
            </w:r>
          </w:p>
        </w:tc>
        <w:tc>
          <w:tcPr>
            <w:tcW w:w="6582" w:type="dxa"/>
          </w:tcPr>
          <w:p w14:paraId="6CA7E030" w14:textId="1B7609A2" w:rsidR="00CB10A2" w:rsidRDefault="00CB10A2" w:rsidP="00CB10A2">
            <w:pPr>
              <w:tabs>
                <w:tab w:val="center" w:pos="6979"/>
              </w:tabs>
              <w:rPr>
                <w:rStyle w:val="normaltextrun"/>
                <w:rFonts w:ascii="Calibri" w:hAnsi="Calibri" w:cs="Calibri"/>
              </w:rPr>
            </w:pPr>
            <w:r w:rsidRPr="00F809B8">
              <w:t>Identification and characterisation of AAV toxicity biomarker</w:t>
            </w:r>
            <w:r>
              <w:t xml:space="preserve"> </w:t>
            </w:r>
            <w:r w:rsidRPr="00F809B8">
              <w:t>Identification and characterisation of AAV toxicity biomarkers through application of spatial proteomics</w:t>
            </w:r>
          </w:p>
        </w:tc>
      </w:tr>
      <w:tr w:rsidR="00CB10A2" w:rsidRPr="00EC5DF1" w14:paraId="26716FE5" w14:textId="77777777" w:rsidTr="001870B4">
        <w:trPr>
          <w:trHeight w:val="501"/>
        </w:trPr>
        <w:tc>
          <w:tcPr>
            <w:tcW w:w="3431" w:type="dxa"/>
          </w:tcPr>
          <w:p w14:paraId="14C4A526" w14:textId="1A5C452D" w:rsidR="00CB10A2" w:rsidRPr="00C303BB" w:rsidRDefault="00CB10A2" w:rsidP="00CB10A2">
            <w:pPr>
              <w:tabs>
                <w:tab w:val="center" w:pos="6979"/>
              </w:tabs>
              <w:rPr>
                <w:rStyle w:val="normaltextrun"/>
                <w:rFonts w:ascii="Calibri" w:hAnsi="Calibri" w:cs="Calibri"/>
              </w:rPr>
            </w:pPr>
            <w:r>
              <w:t>MRC Toxicology Unit</w:t>
            </w:r>
          </w:p>
        </w:tc>
        <w:tc>
          <w:tcPr>
            <w:tcW w:w="3827" w:type="dxa"/>
          </w:tcPr>
          <w:p w14:paraId="60D68119" w14:textId="77777777" w:rsidR="00CB10A2" w:rsidRDefault="00CB10A2" w:rsidP="00CB10A2">
            <w:pPr>
              <w:tabs>
                <w:tab w:val="center" w:pos="6979"/>
              </w:tabs>
            </w:pPr>
            <w:r>
              <w:t>AstraZeneca, University of Liverpool</w:t>
            </w:r>
          </w:p>
          <w:p w14:paraId="57005CCC" w14:textId="77777777" w:rsidR="00CB10A2" w:rsidRDefault="00CB10A2" w:rsidP="00CB10A2">
            <w:pPr>
              <w:tabs>
                <w:tab w:val="center" w:pos="6979"/>
              </w:tabs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6582" w:type="dxa"/>
          </w:tcPr>
          <w:p w14:paraId="43F4EE94" w14:textId="20238D4D" w:rsidR="00CB10A2" w:rsidRDefault="00CB10A2" w:rsidP="00CB10A2">
            <w:pPr>
              <w:tabs>
                <w:tab w:val="center" w:pos="6979"/>
              </w:tabs>
              <w:rPr>
                <w:rStyle w:val="normaltextrun"/>
                <w:rFonts w:ascii="Calibri" w:hAnsi="Calibri" w:cs="Calibri"/>
              </w:rPr>
            </w:pPr>
            <w:r w:rsidRPr="009C4B6E">
              <w:t xml:space="preserve">Mitochondrial Toxicity in </w:t>
            </w:r>
            <w:proofErr w:type="spellStart"/>
            <w:r w:rsidRPr="009C4B6E">
              <w:t>iDILI</w:t>
            </w:r>
            <w:proofErr w:type="spellEnd"/>
            <w:r w:rsidRPr="009C4B6E">
              <w:t>: defining contribution and mechanisms in monocyte</w:t>
            </w:r>
            <w:r>
              <w:t xml:space="preserve"> </w:t>
            </w:r>
            <w:r w:rsidRPr="009C4B6E">
              <w:t xml:space="preserve">derived hepatocyte-like (MH) cells from </w:t>
            </w:r>
            <w:proofErr w:type="spellStart"/>
            <w:r w:rsidRPr="009C4B6E">
              <w:t>iDILI</w:t>
            </w:r>
            <w:proofErr w:type="spellEnd"/>
            <w:r w:rsidRPr="009C4B6E">
              <w:t xml:space="preserve"> patients for safer drug development</w:t>
            </w:r>
          </w:p>
        </w:tc>
      </w:tr>
      <w:tr w:rsidR="00CB10A2" w:rsidRPr="00EC5DF1" w14:paraId="12BA60F5" w14:textId="77777777" w:rsidTr="001870B4">
        <w:trPr>
          <w:trHeight w:val="501"/>
        </w:trPr>
        <w:tc>
          <w:tcPr>
            <w:tcW w:w="3431" w:type="dxa"/>
          </w:tcPr>
          <w:p w14:paraId="1CD80516" w14:textId="0EF0880F" w:rsidR="00CB10A2" w:rsidRPr="00C303BB" w:rsidRDefault="00CB10A2" w:rsidP="00CB10A2">
            <w:pPr>
              <w:tabs>
                <w:tab w:val="center" w:pos="6979"/>
              </w:tabs>
              <w:rPr>
                <w:rStyle w:val="normaltextrun"/>
                <w:rFonts w:ascii="Calibri" w:hAnsi="Calibri" w:cs="Calibri"/>
              </w:rPr>
            </w:pPr>
            <w:r>
              <w:t>University of Liverpool</w:t>
            </w:r>
          </w:p>
        </w:tc>
        <w:tc>
          <w:tcPr>
            <w:tcW w:w="3827" w:type="dxa"/>
          </w:tcPr>
          <w:p w14:paraId="2647F017" w14:textId="3CA06D0F" w:rsidR="00CB10A2" w:rsidRDefault="00CB10A2" w:rsidP="00CB10A2">
            <w:pPr>
              <w:tabs>
                <w:tab w:val="center" w:pos="6979"/>
              </w:tabs>
              <w:rPr>
                <w:rStyle w:val="normaltextrun"/>
                <w:rFonts w:ascii="Calibri" w:hAnsi="Calibri" w:cs="Calibri"/>
              </w:rPr>
            </w:pPr>
            <w:r w:rsidRPr="001F3D46">
              <w:t>University of Liverpool</w:t>
            </w:r>
            <w:r>
              <w:t>, Oxford University</w:t>
            </w:r>
          </w:p>
        </w:tc>
        <w:tc>
          <w:tcPr>
            <w:tcW w:w="6582" w:type="dxa"/>
          </w:tcPr>
          <w:p w14:paraId="30D266B1" w14:textId="7184A878" w:rsidR="00CB10A2" w:rsidRDefault="00CB10A2" w:rsidP="00CB10A2">
            <w:pPr>
              <w:tabs>
                <w:tab w:val="center" w:pos="6979"/>
              </w:tabs>
              <w:rPr>
                <w:rStyle w:val="normaltextrun"/>
                <w:rFonts w:ascii="Calibri" w:hAnsi="Calibri" w:cs="Calibri"/>
              </w:rPr>
            </w:pPr>
            <w:r w:rsidRPr="00087607">
              <w:t>Evaluation of the role of MR1-dependent activation of MAIT cells in drug-induced immunotoxicity</w:t>
            </w:r>
          </w:p>
        </w:tc>
      </w:tr>
      <w:tr w:rsidR="00CB10A2" w:rsidRPr="00EC5DF1" w14:paraId="4BC45983" w14:textId="77777777" w:rsidTr="001870B4">
        <w:trPr>
          <w:trHeight w:val="501"/>
        </w:trPr>
        <w:tc>
          <w:tcPr>
            <w:tcW w:w="3431" w:type="dxa"/>
          </w:tcPr>
          <w:p w14:paraId="773D787A" w14:textId="09400380" w:rsidR="00CB10A2" w:rsidRPr="00C303BB" w:rsidRDefault="00CB10A2" w:rsidP="00CB10A2">
            <w:pPr>
              <w:tabs>
                <w:tab w:val="center" w:pos="6979"/>
              </w:tabs>
              <w:rPr>
                <w:rStyle w:val="normaltextrun"/>
                <w:rFonts w:ascii="Calibri" w:hAnsi="Calibri" w:cs="Calibri"/>
              </w:rPr>
            </w:pPr>
            <w:r>
              <w:t>University of Reading</w:t>
            </w:r>
          </w:p>
        </w:tc>
        <w:tc>
          <w:tcPr>
            <w:tcW w:w="3827" w:type="dxa"/>
          </w:tcPr>
          <w:p w14:paraId="0C43D73C" w14:textId="77D2FB5F" w:rsidR="00CB10A2" w:rsidRDefault="00CB10A2" w:rsidP="00CB10A2">
            <w:pPr>
              <w:tabs>
                <w:tab w:val="center" w:pos="6979"/>
              </w:tabs>
              <w:rPr>
                <w:rStyle w:val="normaltextrun"/>
                <w:rFonts w:ascii="Calibri" w:hAnsi="Calibri" w:cs="Calibri"/>
              </w:rPr>
            </w:pPr>
            <w:r w:rsidRPr="00505ADE">
              <w:t>University of Reading</w:t>
            </w:r>
            <w:r>
              <w:t xml:space="preserve">, </w:t>
            </w:r>
            <w:r w:rsidRPr="00505ADE">
              <w:t>MRC Toxicology Unit</w:t>
            </w:r>
            <w:r>
              <w:t xml:space="preserve">, </w:t>
            </w:r>
            <w:proofErr w:type="spellStart"/>
            <w:r>
              <w:t>Venomtech</w:t>
            </w:r>
            <w:proofErr w:type="spellEnd"/>
            <w:r>
              <w:t xml:space="preserve"> Limited</w:t>
            </w:r>
          </w:p>
        </w:tc>
        <w:tc>
          <w:tcPr>
            <w:tcW w:w="6582" w:type="dxa"/>
          </w:tcPr>
          <w:p w14:paraId="21A4D677" w14:textId="74025C5A" w:rsidR="00CB10A2" w:rsidRDefault="00CB10A2" w:rsidP="00CB10A2">
            <w:pPr>
              <w:tabs>
                <w:tab w:val="center" w:pos="6979"/>
              </w:tabs>
              <w:rPr>
                <w:rStyle w:val="normaltextrun"/>
                <w:rFonts w:ascii="Calibri" w:hAnsi="Calibri" w:cs="Calibri"/>
              </w:rPr>
            </w:pPr>
            <w:r w:rsidRPr="00F956F2">
              <w:t>An integrative toxicology approach to assess the myotoxic profiles of selected invertebrate venoms on skeletal muscle</w:t>
            </w:r>
          </w:p>
        </w:tc>
      </w:tr>
      <w:tr w:rsidR="00CB10A2" w:rsidRPr="00EC5DF1" w14:paraId="08D02C75" w14:textId="77777777" w:rsidTr="001870B4">
        <w:trPr>
          <w:trHeight w:val="501"/>
        </w:trPr>
        <w:tc>
          <w:tcPr>
            <w:tcW w:w="3431" w:type="dxa"/>
          </w:tcPr>
          <w:p w14:paraId="3E93269B" w14:textId="199DD7D1" w:rsidR="00CB10A2" w:rsidRPr="00C303BB" w:rsidRDefault="00CB10A2" w:rsidP="00CB10A2">
            <w:pPr>
              <w:tabs>
                <w:tab w:val="center" w:pos="6979"/>
              </w:tabs>
              <w:rPr>
                <w:rStyle w:val="normaltextrun"/>
                <w:rFonts w:ascii="Calibri" w:hAnsi="Calibri" w:cs="Calibri"/>
              </w:rPr>
            </w:pPr>
            <w:r>
              <w:t>MRC Toxicology Unit</w:t>
            </w:r>
          </w:p>
        </w:tc>
        <w:tc>
          <w:tcPr>
            <w:tcW w:w="3827" w:type="dxa"/>
          </w:tcPr>
          <w:p w14:paraId="2E3CE11A" w14:textId="576D2EC9" w:rsidR="00CB10A2" w:rsidRDefault="00CB10A2" w:rsidP="00CB10A2">
            <w:pPr>
              <w:tabs>
                <w:tab w:val="center" w:pos="6979"/>
              </w:tabs>
              <w:rPr>
                <w:rStyle w:val="normaltextrun"/>
                <w:rFonts w:ascii="Calibri" w:hAnsi="Calibri" w:cs="Calibri"/>
              </w:rPr>
            </w:pPr>
            <w:r>
              <w:t>Procter and Gamble, Imperial College London</w:t>
            </w:r>
          </w:p>
        </w:tc>
        <w:tc>
          <w:tcPr>
            <w:tcW w:w="6582" w:type="dxa"/>
          </w:tcPr>
          <w:p w14:paraId="221DBD66" w14:textId="77777777" w:rsidR="00CB10A2" w:rsidRDefault="00CB10A2" w:rsidP="00CB10A2">
            <w:pPr>
              <w:tabs>
                <w:tab w:val="center" w:pos="6979"/>
              </w:tabs>
            </w:pPr>
            <w:r w:rsidRPr="00E4008A">
              <w:t>Toxicity differences between animal models and humans: the role of the gut microbiota</w:t>
            </w:r>
          </w:p>
          <w:p w14:paraId="70946AC0" w14:textId="547B8803" w:rsidR="00C61D28" w:rsidRDefault="00C61D28" w:rsidP="00CB10A2">
            <w:pPr>
              <w:tabs>
                <w:tab w:val="center" w:pos="6979"/>
              </w:tabs>
              <w:rPr>
                <w:rStyle w:val="normaltextrun"/>
                <w:rFonts w:ascii="Calibri" w:hAnsi="Calibri" w:cs="Calibri"/>
              </w:rPr>
            </w:pPr>
          </w:p>
        </w:tc>
      </w:tr>
      <w:tr w:rsidR="00CB10A2" w:rsidRPr="00EC5DF1" w14:paraId="1A6C9013" w14:textId="77777777" w:rsidTr="00C61D28">
        <w:trPr>
          <w:trHeight w:val="333"/>
        </w:trPr>
        <w:tc>
          <w:tcPr>
            <w:tcW w:w="3431" w:type="dxa"/>
            <w:shd w:val="clear" w:color="auto" w:fill="5F497A" w:themeFill="accent4" w:themeFillShade="BF"/>
            <w:vAlign w:val="center"/>
          </w:tcPr>
          <w:p w14:paraId="4798E8BB" w14:textId="01058A08" w:rsidR="00CB10A2" w:rsidRPr="00CB10A2" w:rsidRDefault="00CB10A2" w:rsidP="00CB10A2">
            <w:pPr>
              <w:tabs>
                <w:tab w:val="center" w:pos="6979"/>
              </w:tabs>
              <w:rPr>
                <w:rStyle w:val="normaltextrun"/>
                <w:rFonts w:ascii="Calibri" w:hAnsi="Calibri" w:cs="Calibri"/>
                <w:b/>
                <w:bCs/>
              </w:rPr>
            </w:pPr>
            <w:r w:rsidRPr="00CB10A2">
              <w:rPr>
                <w:rFonts w:ascii="Arial" w:hAnsi="Arial" w:cs="Arial"/>
                <w:b/>
                <w:bCs/>
                <w:color w:val="FFFFFF" w:themeColor="background1"/>
              </w:rPr>
              <w:t>2021</w:t>
            </w:r>
          </w:p>
        </w:tc>
        <w:tc>
          <w:tcPr>
            <w:tcW w:w="3827" w:type="dxa"/>
            <w:shd w:val="clear" w:color="auto" w:fill="5F497A" w:themeFill="accent4" w:themeFillShade="BF"/>
            <w:vAlign w:val="center"/>
          </w:tcPr>
          <w:p w14:paraId="50252F7D" w14:textId="77777777" w:rsidR="00CB10A2" w:rsidRPr="00CB10A2" w:rsidRDefault="00CB10A2" w:rsidP="00CB10A2">
            <w:pPr>
              <w:tabs>
                <w:tab w:val="center" w:pos="6979"/>
              </w:tabs>
              <w:rPr>
                <w:rStyle w:val="normaltextrun"/>
                <w:rFonts w:ascii="Calibri" w:hAnsi="Calibri" w:cs="Calibri"/>
                <w:b/>
                <w:bCs/>
              </w:rPr>
            </w:pPr>
          </w:p>
        </w:tc>
        <w:tc>
          <w:tcPr>
            <w:tcW w:w="6582" w:type="dxa"/>
            <w:shd w:val="clear" w:color="auto" w:fill="5F497A" w:themeFill="accent4" w:themeFillShade="BF"/>
            <w:vAlign w:val="center"/>
          </w:tcPr>
          <w:p w14:paraId="3D9BBB48" w14:textId="77777777" w:rsidR="00CB10A2" w:rsidRPr="00CB10A2" w:rsidRDefault="00CB10A2" w:rsidP="00CB10A2">
            <w:pPr>
              <w:tabs>
                <w:tab w:val="center" w:pos="6979"/>
              </w:tabs>
              <w:rPr>
                <w:rStyle w:val="normaltextrun"/>
                <w:rFonts w:ascii="Calibri" w:hAnsi="Calibri" w:cs="Calibri"/>
                <w:b/>
                <w:bCs/>
              </w:rPr>
            </w:pPr>
          </w:p>
        </w:tc>
      </w:tr>
      <w:tr w:rsidR="00CB10A2" w:rsidRPr="00EC5DF1" w14:paraId="66069A4A" w14:textId="77777777" w:rsidTr="001870B4">
        <w:trPr>
          <w:trHeight w:val="501"/>
        </w:trPr>
        <w:tc>
          <w:tcPr>
            <w:tcW w:w="3431" w:type="dxa"/>
          </w:tcPr>
          <w:p w14:paraId="137C7F4E" w14:textId="6E33D8E0" w:rsidR="00CB10A2" w:rsidRPr="00C303BB" w:rsidRDefault="00CB10A2" w:rsidP="00CB10A2">
            <w:pPr>
              <w:tabs>
                <w:tab w:val="center" w:pos="6979"/>
              </w:tabs>
              <w:rPr>
                <w:rStyle w:val="normaltextrun"/>
                <w:rFonts w:ascii="Calibri" w:hAnsi="Calibri" w:cs="Calibri"/>
              </w:rPr>
            </w:pPr>
            <w:r w:rsidRPr="00C303BB">
              <w:rPr>
                <w:rStyle w:val="normaltextrun"/>
                <w:rFonts w:ascii="Calibri" w:hAnsi="Calibri" w:cs="Calibri"/>
              </w:rPr>
              <w:t>MRC Toxicology</w:t>
            </w:r>
            <w:r>
              <w:rPr>
                <w:rStyle w:val="normaltextrun"/>
                <w:rFonts w:ascii="Calibri" w:hAnsi="Calibri" w:cs="Calibri"/>
              </w:rPr>
              <w:t xml:space="preserve"> </w:t>
            </w:r>
            <w:r w:rsidRPr="00C303BB">
              <w:rPr>
                <w:rStyle w:val="normaltextrun"/>
                <w:rFonts w:ascii="Calibri" w:hAnsi="Calibri" w:cs="Calibri"/>
              </w:rPr>
              <w:t>Un</w:t>
            </w:r>
            <w:r>
              <w:rPr>
                <w:rStyle w:val="normaltextrun"/>
                <w:rFonts w:ascii="Calibri" w:hAnsi="Calibri" w:cs="Calibri"/>
              </w:rPr>
              <w:t>it</w:t>
            </w:r>
          </w:p>
        </w:tc>
        <w:tc>
          <w:tcPr>
            <w:tcW w:w="3827" w:type="dxa"/>
          </w:tcPr>
          <w:p w14:paraId="2A2C7D26" w14:textId="47101E1A" w:rsidR="00CB10A2" w:rsidRPr="00C303BB" w:rsidRDefault="00CB10A2" w:rsidP="00CB10A2">
            <w:pPr>
              <w:tabs>
                <w:tab w:val="center" w:pos="6979"/>
              </w:tabs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AstraZeneca, NATA</w:t>
            </w:r>
          </w:p>
        </w:tc>
        <w:tc>
          <w:tcPr>
            <w:tcW w:w="6582" w:type="dxa"/>
          </w:tcPr>
          <w:p w14:paraId="07C9DBEC" w14:textId="7015E29A" w:rsidR="00CB10A2" w:rsidRPr="00144FEA" w:rsidRDefault="00CB10A2" w:rsidP="00CB10A2">
            <w:pPr>
              <w:tabs>
                <w:tab w:val="center" w:pos="6979"/>
              </w:tabs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Style w:val="normaltextrun"/>
                <w:rFonts w:ascii="Calibri" w:hAnsi="Calibri" w:cs="Calibri"/>
              </w:rPr>
              <w:t>Exploring the molecular mechanisms underlying toxicity of RNA-based therapeutics: unbiased identification of off-targets 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</w:tc>
      </w:tr>
      <w:tr w:rsidR="00CB10A2" w:rsidRPr="00EC5DF1" w14:paraId="73784B2B" w14:textId="77777777" w:rsidTr="001870B4">
        <w:trPr>
          <w:trHeight w:val="501"/>
        </w:trPr>
        <w:tc>
          <w:tcPr>
            <w:tcW w:w="3431" w:type="dxa"/>
          </w:tcPr>
          <w:p w14:paraId="6B6BEED1" w14:textId="472EBB99" w:rsidR="00CB10A2" w:rsidRPr="00C303BB" w:rsidRDefault="00CB10A2" w:rsidP="00CB10A2">
            <w:pPr>
              <w:tabs>
                <w:tab w:val="center" w:pos="6979"/>
              </w:tabs>
              <w:rPr>
                <w:rStyle w:val="normaltextrun"/>
                <w:rFonts w:ascii="Calibri" w:hAnsi="Calibri" w:cs="Calibri"/>
              </w:rPr>
            </w:pPr>
            <w:r w:rsidRPr="00C303BB">
              <w:rPr>
                <w:rStyle w:val="normaltextrun"/>
                <w:rFonts w:ascii="Calibri" w:hAnsi="Calibri" w:cs="Calibri"/>
              </w:rPr>
              <w:t>MRC Toxicology</w:t>
            </w:r>
            <w:r>
              <w:rPr>
                <w:rStyle w:val="normaltextrun"/>
                <w:rFonts w:ascii="Calibri" w:hAnsi="Calibri" w:cs="Calibri"/>
              </w:rPr>
              <w:t xml:space="preserve"> </w:t>
            </w:r>
            <w:r w:rsidRPr="00C303BB">
              <w:rPr>
                <w:rStyle w:val="normaltextrun"/>
                <w:rFonts w:ascii="Calibri" w:hAnsi="Calibri" w:cs="Calibri"/>
              </w:rPr>
              <w:t>Un</w:t>
            </w:r>
            <w:r>
              <w:rPr>
                <w:rStyle w:val="normaltextrun"/>
                <w:rFonts w:ascii="Calibri" w:hAnsi="Calibri" w:cs="Calibri"/>
              </w:rPr>
              <w:t>it</w:t>
            </w:r>
          </w:p>
        </w:tc>
        <w:tc>
          <w:tcPr>
            <w:tcW w:w="3827" w:type="dxa"/>
          </w:tcPr>
          <w:p w14:paraId="26B5AA4F" w14:textId="324C2D21" w:rsidR="00CB10A2" w:rsidRPr="00C303BB" w:rsidRDefault="00CB10A2" w:rsidP="00CB10A2">
            <w:pPr>
              <w:tabs>
                <w:tab w:val="center" w:pos="6979"/>
              </w:tabs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AstraZeneca</w:t>
            </w:r>
          </w:p>
        </w:tc>
        <w:tc>
          <w:tcPr>
            <w:tcW w:w="6582" w:type="dxa"/>
          </w:tcPr>
          <w:p w14:paraId="22535F35" w14:textId="12A32DDA" w:rsidR="00CB10A2" w:rsidRPr="00144FEA" w:rsidRDefault="00CB10A2" w:rsidP="00CB10A2">
            <w:pPr>
              <w:tabs>
                <w:tab w:val="center" w:pos="6979"/>
              </w:tabs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Style w:val="normaltextrun"/>
                <w:rFonts w:ascii="Calibri" w:hAnsi="Calibri" w:cs="Calibri"/>
              </w:rPr>
              <w:t>Assessing the epigenetic changes associated with on-target CRISPR-induced toxicity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</w:tc>
      </w:tr>
      <w:tr w:rsidR="00CB10A2" w:rsidRPr="00EC5DF1" w14:paraId="5B159F0F" w14:textId="77777777" w:rsidTr="001870B4">
        <w:trPr>
          <w:trHeight w:val="501"/>
        </w:trPr>
        <w:tc>
          <w:tcPr>
            <w:tcW w:w="3431" w:type="dxa"/>
          </w:tcPr>
          <w:p w14:paraId="3C505EA2" w14:textId="66DFB7C5" w:rsidR="00CB10A2" w:rsidRPr="00C303BB" w:rsidRDefault="00CB10A2" w:rsidP="00CB10A2">
            <w:pPr>
              <w:tabs>
                <w:tab w:val="center" w:pos="6979"/>
              </w:tabs>
              <w:rPr>
                <w:rStyle w:val="normaltextrun"/>
                <w:rFonts w:ascii="Calibri" w:hAnsi="Calibri" w:cs="Calibri"/>
              </w:rPr>
            </w:pPr>
            <w:r w:rsidRPr="00C303BB">
              <w:rPr>
                <w:rStyle w:val="normaltextrun"/>
                <w:rFonts w:ascii="Calibri" w:hAnsi="Calibri" w:cs="Calibri"/>
              </w:rPr>
              <w:t>MRC Toxicology</w:t>
            </w:r>
            <w:r>
              <w:rPr>
                <w:rStyle w:val="normaltextrun"/>
                <w:rFonts w:ascii="Calibri" w:hAnsi="Calibri" w:cs="Calibri"/>
              </w:rPr>
              <w:t xml:space="preserve"> </w:t>
            </w:r>
            <w:r w:rsidRPr="00C303BB">
              <w:rPr>
                <w:rStyle w:val="normaltextrun"/>
                <w:rFonts w:ascii="Calibri" w:hAnsi="Calibri" w:cs="Calibri"/>
              </w:rPr>
              <w:t>Un</w:t>
            </w:r>
            <w:r>
              <w:rPr>
                <w:rStyle w:val="normaltextrun"/>
                <w:rFonts w:ascii="Calibri" w:hAnsi="Calibri" w:cs="Calibri"/>
              </w:rPr>
              <w:t>it</w:t>
            </w:r>
          </w:p>
        </w:tc>
        <w:tc>
          <w:tcPr>
            <w:tcW w:w="3827" w:type="dxa"/>
          </w:tcPr>
          <w:p w14:paraId="724B4963" w14:textId="23CC18A7" w:rsidR="00CB10A2" w:rsidRPr="00C303BB" w:rsidRDefault="00CB10A2" w:rsidP="00CB10A2">
            <w:pPr>
              <w:tabs>
                <w:tab w:val="center" w:pos="6979"/>
              </w:tabs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Novartis, AstraZeneca</w:t>
            </w:r>
          </w:p>
        </w:tc>
        <w:tc>
          <w:tcPr>
            <w:tcW w:w="6582" w:type="dxa"/>
          </w:tcPr>
          <w:p w14:paraId="4D4B4151" w14:textId="1922BA12" w:rsidR="00CB10A2" w:rsidRPr="00144FEA" w:rsidRDefault="00CB10A2" w:rsidP="00CB10A2">
            <w:pPr>
              <w:tabs>
                <w:tab w:val="center" w:pos="6979"/>
              </w:tabs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Style w:val="normaltextrun"/>
                <w:rFonts w:ascii="Calibri" w:hAnsi="Calibri" w:cs="Calibri"/>
              </w:rPr>
              <w:t>Investigating epigenetic mechanisms underlying idiosyncratic Drug-Induced Liver Injury (</w:t>
            </w:r>
            <w:proofErr w:type="spellStart"/>
            <w:r>
              <w:rPr>
                <w:rStyle w:val="normaltextrun"/>
                <w:rFonts w:ascii="Calibri" w:hAnsi="Calibri" w:cs="Calibri"/>
              </w:rPr>
              <w:t>iDILI</w:t>
            </w:r>
            <w:proofErr w:type="spellEnd"/>
            <w:r>
              <w:rPr>
                <w:rStyle w:val="normaltextrun"/>
                <w:rFonts w:ascii="Calibri" w:hAnsi="Calibri" w:cs="Calibri"/>
              </w:rPr>
              <w:t>)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</w:tc>
      </w:tr>
      <w:tr w:rsidR="00CB10A2" w:rsidRPr="00EC5DF1" w14:paraId="473C0C10" w14:textId="77777777" w:rsidTr="001870B4">
        <w:trPr>
          <w:trHeight w:val="501"/>
        </w:trPr>
        <w:tc>
          <w:tcPr>
            <w:tcW w:w="3431" w:type="dxa"/>
          </w:tcPr>
          <w:p w14:paraId="20BE73D5" w14:textId="45E90052" w:rsidR="00CB10A2" w:rsidRPr="00C303BB" w:rsidRDefault="00CB10A2" w:rsidP="00CB10A2">
            <w:pPr>
              <w:tabs>
                <w:tab w:val="center" w:pos="6979"/>
              </w:tabs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MRC Mitochondrial Biology Unit</w:t>
            </w:r>
          </w:p>
        </w:tc>
        <w:tc>
          <w:tcPr>
            <w:tcW w:w="3827" w:type="dxa"/>
          </w:tcPr>
          <w:p w14:paraId="456E6FF8" w14:textId="570B4100" w:rsidR="00CB10A2" w:rsidRPr="00C303BB" w:rsidRDefault="00CB10A2" w:rsidP="00CB10A2">
            <w:pPr>
              <w:tabs>
                <w:tab w:val="center" w:pos="6979"/>
              </w:tabs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AstraZeneca, MRC Toxicology Unit</w:t>
            </w:r>
          </w:p>
        </w:tc>
        <w:tc>
          <w:tcPr>
            <w:tcW w:w="6582" w:type="dxa"/>
          </w:tcPr>
          <w:p w14:paraId="38CA62C6" w14:textId="64490F04" w:rsidR="00CB10A2" w:rsidRPr="00144FEA" w:rsidRDefault="00CB10A2" w:rsidP="00CB10A2">
            <w:pPr>
              <w:tabs>
                <w:tab w:val="center" w:pos="6979"/>
              </w:tabs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Style w:val="normaltextrun"/>
                <w:rFonts w:ascii="Calibri" w:hAnsi="Calibri" w:cs="Calibri"/>
              </w:rPr>
              <w:t>Mitochondrial toxicity in human drug induced liver injury: defining contributions and mechanisms to inform safer drug development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</w:tc>
      </w:tr>
      <w:tr w:rsidR="00CB10A2" w:rsidRPr="00EC5DF1" w14:paraId="1214CCAA" w14:textId="77777777" w:rsidTr="001870B4">
        <w:trPr>
          <w:trHeight w:val="365"/>
        </w:trPr>
        <w:tc>
          <w:tcPr>
            <w:tcW w:w="3431" w:type="dxa"/>
            <w:shd w:val="clear" w:color="auto" w:fill="5F497A" w:themeFill="accent4" w:themeFillShade="BF"/>
            <w:vAlign w:val="center"/>
          </w:tcPr>
          <w:p w14:paraId="7D153F7B" w14:textId="06B42787" w:rsidR="00CB10A2" w:rsidRPr="00144FEA" w:rsidRDefault="00CB10A2" w:rsidP="00CB10A2">
            <w:pPr>
              <w:tabs>
                <w:tab w:val="center" w:pos="6979"/>
              </w:tabs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2020</w:t>
            </w:r>
          </w:p>
        </w:tc>
        <w:tc>
          <w:tcPr>
            <w:tcW w:w="3827" w:type="dxa"/>
            <w:shd w:val="clear" w:color="auto" w:fill="5F497A" w:themeFill="accent4" w:themeFillShade="BF"/>
            <w:vAlign w:val="center"/>
          </w:tcPr>
          <w:p w14:paraId="33314DFE" w14:textId="77777777" w:rsidR="00CB10A2" w:rsidRPr="00144FEA" w:rsidRDefault="00CB10A2" w:rsidP="00CB10A2">
            <w:pPr>
              <w:tabs>
                <w:tab w:val="center" w:pos="6979"/>
              </w:tabs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6582" w:type="dxa"/>
            <w:shd w:val="clear" w:color="auto" w:fill="5F497A" w:themeFill="accent4" w:themeFillShade="BF"/>
            <w:vAlign w:val="center"/>
          </w:tcPr>
          <w:p w14:paraId="0589C9F1" w14:textId="77777777" w:rsidR="00CB10A2" w:rsidRPr="00144FEA" w:rsidRDefault="00CB10A2" w:rsidP="00CB10A2">
            <w:pPr>
              <w:tabs>
                <w:tab w:val="center" w:pos="6979"/>
              </w:tabs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  <w:tr w:rsidR="00CB10A2" w:rsidRPr="00EC5DF1" w14:paraId="3F8D5577" w14:textId="77777777" w:rsidTr="001870B4">
        <w:trPr>
          <w:trHeight w:val="501"/>
        </w:trPr>
        <w:tc>
          <w:tcPr>
            <w:tcW w:w="3431" w:type="dxa"/>
          </w:tcPr>
          <w:p w14:paraId="754AB249" w14:textId="689D4B9B" w:rsidR="00CB10A2" w:rsidRPr="00EC5380" w:rsidRDefault="00CB10A2" w:rsidP="00CB10A2">
            <w:pPr>
              <w:tabs>
                <w:tab w:val="center" w:pos="6979"/>
              </w:tabs>
              <w:rPr>
                <w:rStyle w:val="normaltextrun"/>
                <w:rFonts w:ascii="Calibri" w:hAnsi="Calibri" w:cs="Calibri"/>
              </w:rPr>
            </w:pPr>
            <w:r w:rsidRPr="00EC5380">
              <w:rPr>
                <w:rStyle w:val="normaltextrun"/>
                <w:rFonts w:ascii="Calibri" w:hAnsi="Calibri" w:cs="Calibri"/>
              </w:rPr>
              <w:lastRenderedPageBreak/>
              <w:t>MRC London Institute</w:t>
            </w:r>
            <w:r>
              <w:rPr>
                <w:rStyle w:val="normaltextrun"/>
                <w:rFonts w:ascii="Calibri" w:hAnsi="Calibri" w:cs="Calibri"/>
              </w:rPr>
              <w:t xml:space="preserve"> of Medical Sciences</w:t>
            </w:r>
          </w:p>
        </w:tc>
        <w:tc>
          <w:tcPr>
            <w:tcW w:w="3827" w:type="dxa"/>
          </w:tcPr>
          <w:p w14:paraId="4DA6922E" w14:textId="735BE9A3" w:rsidR="00CB10A2" w:rsidRPr="00EC5380" w:rsidRDefault="00CB10A2" w:rsidP="00CB10A2">
            <w:pPr>
              <w:tabs>
                <w:tab w:val="center" w:pos="6979"/>
              </w:tabs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Imperial College</w:t>
            </w:r>
          </w:p>
        </w:tc>
        <w:tc>
          <w:tcPr>
            <w:tcW w:w="6582" w:type="dxa"/>
          </w:tcPr>
          <w:p w14:paraId="0A42CBB3" w14:textId="57401AD0" w:rsidR="00CB10A2" w:rsidRPr="00144FEA" w:rsidRDefault="00CB10A2" w:rsidP="00CB10A2">
            <w:pPr>
              <w:tabs>
                <w:tab w:val="center" w:pos="6979"/>
              </w:tabs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Style w:val="normaltextrun"/>
                <w:rFonts w:ascii="Calibri" w:hAnsi="Calibri" w:cs="Calibri"/>
              </w:rPr>
              <w:t>Understanding the influence of membrane transporter heterogeneity on the efficacy and toxicity of chemotherapeutics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</w:tc>
      </w:tr>
      <w:tr w:rsidR="00CB10A2" w:rsidRPr="00EC5DF1" w14:paraId="0684909D" w14:textId="77777777" w:rsidTr="001870B4">
        <w:trPr>
          <w:trHeight w:val="501"/>
        </w:trPr>
        <w:tc>
          <w:tcPr>
            <w:tcW w:w="3431" w:type="dxa"/>
          </w:tcPr>
          <w:p w14:paraId="6614259C" w14:textId="725C2A3D" w:rsidR="00CB10A2" w:rsidRPr="004B7C2C" w:rsidRDefault="00CB10A2" w:rsidP="00CB10A2">
            <w:pPr>
              <w:tabs>
                <w:tab w:val="center" w:pos="6979"/>
              </w:tabs>
              <w:rPr>
                <w:rStyle w:val="normaltextrun"/>
                <w:rFonts w:ascii="Calibri" w:hAnsi="Calibri" w:cs="Calibri"/>
                <w:i/>
                <w:iCs/>
              </w:rPr>
            </w:pPr>
            <w:r w:rsidRPr="004B7C2C">
              <w:rPr>
                <w:rStyle w:val="normaltextrun"/>
                <w:rFonts w:ascii="Calibri" w:hAnsi="Calibri" w:cs="Calibri"/>
                <w:i/>
                <w:iCs/>
              </w:rPr>
              <w:t>MRC Toxicology Unit</w:t>
            </w:r>
          </w:p>
        </w:tc>
        <w:tc>
          <w:tcPr>
            <w:tcW w:w="3827" w:type="dxa"/>
          </w:tcPr>
          <w:p w14:paraId="2DF3B481" w14:textId="4B7F47F7" w:rsidR="00CB10A2" w:rsidRPr="004B7C2C" w:rsidRDefault="00CB10A2" w:rsidP="00CB10A2">
            <w:pPr>
              <w:tabs>
                <w:tab w:val="center" w:pos="6979"/>
              </w:tabs>
              <w:rPr>
                <w:rStyle w:val="normaltextrun"/>
                <w:rFonts w:ascii="Calibri" w:hAnsi="Calibri" w:cs="Calibri"/>
                <w:i/>
                <w:iCs/>
              </w:rPr>
            </w:pPr>
            <w:r w:rsidRPr="004B7C2C">
              <w:rPr>
                <w:rStyle w:val="normaltextrun"/>
                <w:rFonts w:ascii="Calibri" w:hAnsi="Calibri" w:cs="Calibri"/>
                <w:i/>
                <w:iCs/>
              </w:rPr>
              <w:t>AstraZeneca</w:t>
            </w:r>
          </w:p>
        </w:tc>
        <w:tc>
          <w:tcPr>
            <w:tcW w:w="6582" w:type="dxa"/>
          </w:tcPr>
          <w:p w14:paraId="796082BD" w14:textId="12A4641D" w:rsidR="00CB10A2" w:rsidRPr="00575F2B" w:rsidRDefault="00CB10A2" w:rsidP="00CB10A2">
            <w:pPr>
              <w:pStyle w:val="paragraph"/>
              <w:spacing w:before="0" w:beforeAutospacing="0" w:after="0" w:afterAutospacing="0"/>
              <w:textAlignment w:val="baseline"/>
              <w:divId w:val="168801770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Identifying mechanisms underlying haematological toxicity caused by a class of epigenetic drugs in clinical trials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B10A2" w:rsidRPr="00EC5DF1" w14:paraId="41EC74D8" w14:textId="77777777" w:rsidTr="001870B4">
        <w:trPr>
          <w:trHeight w:val="501"/>
        </w:trPr>
        <w:tc>
          <w:tcPr>
            <w:tcW w:w="3431" w:type="dxa"/>
          </w:tcPr>
          <w:p w14:paraId="580E9AC6" w14:textId="164E1CE6" w:rsidR="00CB10A2" w:rsidRPr="00EC5380" w:rsidRDefault="00CB10A2" w:rsidP="00CB10A2">
            <w:pPr>
              <w:tabs>
                <w:tab w:val="center" w:pos="6979"/>
              </w:tabs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MRC Centre for Drug Safety Science</w:t>
            </w:r>
          </w:p>
        </w:tc>
        <w:tc>
          <w:tcPr>
            <w:tcW w:w="3827" w:type="dxa"/>
          </w:tcPr>
          <w:p w14:paraId="4354924B" w14:textId="44AA1BA7" w:rsidR="00CB10A2" w:rsidRPr="00EC5380" w:rsidRDefault="00CB10A2" w:rsidP="00CB10A2">
            <w:pPr>
              <w:tabs>
                <w:tab w:val="center" w:pos="6979"/>
              </w:tabs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AstraZeneca, University of Newcastle</w:t>
            </w:r>
          </w:p>
        </w:tc>
        <w:tc>
          <w:tcPr>
            <w:tcW w:w="6582" w:type="dxa"/>
          </w:tcPr>
          <w:p w14:paraId="1E7D2476" w14:textId="5E5E581E" w:rsidR="00CB10A2" w:rsidRPr="00575F2B" w:rsidRDefault="00CB10A2" w:rsidP="00CB10A2">
            <w:pPr>
              <w:pStyle w:val="paragraph"/>
              <w:spacing w:before="0" w:beforeAutospacing="0" w:after="0" w:afterAutospacing="0"/>
              <w:textAlignment w:val="baseline"/>
              <w:divId w:val="187873905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Immune-related adverse events observed following sequential dosing of immune checkpoint inhibitors and low molecular weight drugs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B10A2" w:rsidRPr="00EC5DF1" w14:paraId="21A1882A" w14:textId="77777777" w:rsidTr="001870B4">
        <w:trPr>
          <w:trHeight w:val="501"/>
        </w:trPr>
        <w:tc>
          <w:tcPr>
            <w:tcW w:w="3431" w:type="dxa"/>
          </w:tcPr>
          <w:p w14:paraId="486D8129" w14:textId="155D5355" w:rsidR="00CB10A2" w:rsidRPr="005879E9" w:rsidRDefault="00CB10A2" w:rsidP="00CB10A2">
            <w:pPr>
              <w:tabs>
                <w:tab w:val="center" w:pos="6979"/>
              </w:tabs>
              <w:rPr>
                <w:rStyle w:val="normaltextrun"/>
                <w:rFonts w:ascii="Calibri" w:eastAsia="Times New Roman" w:hAnsi="Calibri" w:cs="Calibri"/>
                <w:color w:val="000000"/>
                <w:lang w:eastAsia="en-GB"/>
              </w:rPr>
            </w:pPr>
            <w:r w:rsidRPr="005879E9">
              <w:rPr>
                <w:rStyle w:val="normaltextrun"/>
                <w:rFonts w:ascii="Calibri" w:eastAsia="Times New Roman" w:hAnsi="Calibri" w:cs="Calibri"/>
                <w:color w:val="000000"/>
                <w:lang w:eastAsia="en-GB"/>
              </w:rPr>
              <w:t>University of Newcastle</w:t>
            </w:r>
          </w:p>
        </w:tc>
        <w:tc>
          <w:tcPr>
            <w:tcW w:w="3827" w:type="dxa"/>
          </w:tcPr>
          <w:p w14:paraId="2C00EA59" w14:textId="6972D8F7" w:rsidR="00CB10A2" w:rsidRPr="005879E9" w:rsidRDefault="00CB10A2" w:rsidP="00CB10A2">
            <w:pPr>
              <w:tabs>
                <w:tab w:val="center" w:pos="6979"/>
              </w:tabs>
              <w:rPr>
                <w:rStyle w:val="normaltextrun"/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Style w:val="normaltextrun"/>
                <w:rFonts w:ascii="Calibri" w:eastAsia="Times New Roman" w:hAnsi="Calibri" w:cs="Calibri"/>
                <w:color w:val="000000"/>
                <w:lang w:eastAsia="en-GB"/>
              </w:rPr>
              <w:t>MRC Centre for Drug Safety Sciences, MRC Toxicology Unit, UCB Biopharma SPRL</w:t>
            </w:r>
          </w:p>
        </w:tc>
        <w:tc>
          <w:tcPr>
            <w:tcW w:w="6582" w:type="dxa"/>
          </w:tcPr>
          <w:p w14:paraId="47665EF0" w14:textId="77777777" w:rsidR="00CB10A2" w:rsidRDefault="00CB10A2" w:rsidP="00CB10A2">
            <w:pPr>
              <w:pStyle w:val="paragraph"/>
              <w:spacing w:before="0" w:beforeAutospacing="0" w:after="0" w:afterAutospacing="0"/>
              <w:textAlignment w:val="baseline"/>
              <w:divId w:val="171654633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Identification of molecular mechanisms of late-occurring cardiotoxicity induced by oncology therapeutics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3A2B13C0" w14:textId="3D54E98A" w:rsidR="00CB10A2" w:rsidRPr="00144FEA" w:rsidRDefault="00CB10A2" w:rsidP="00CB10A2">
            <w:pPr>
              <w:tabs>
                <w:tab w:val="center" w:pos="6979"/>
              </w:tabs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Style w:val="eop"/>
                <w:rFonts w:ascii="Calibri" w:hAnsi="Calibri" w:cs="Calibri"/>
                <w:color w:val="FFFFFF"/>
              </w:rPr>
              <w:t> </w:t>
            </w:r>
          </w:p>
        </w:tc>
      </w:tr>
      <w:tr w:rsidR="00CB10A2" w:rsidRPr="00EC5DF1" w14:paraId="30EBE52E" w14:textId="77777777" w:rsidTr="001870B4">
        <w:trPr>
          <w:trHeight w:val="325"/>
        </w:trPr>
        <w:tc>
          <w:tcPr>
            <w:tcW w:w="3431" w:type="dxa"/>
            <w:shd w:val="clear" w:color="auto" w:fill="5F497A" w:themeFill="accent4" w:themeFillShade="BF"/>
            <w:vAlign w:val="center"/>
          </w:tcPr>
          <w:p w14:paraId="30EBE52B" w14:textId="77777777" w:rsidR="00CB10A2" w:rsidRDefault="00CB10A2" w:rsidP="00CB10A2">
            <w:pPr>
              <w:tabs>
                <w:tab w:val="center" w:pos="6979"/>
              </w:tabs>
              <w:rPr>
                <w:rFonts w:ascii="Arial" w:hAnsi="Arial" w:cs="Arial"/>
                <w:b/>
                <w:i/>
                <w:color w:val="FFFFFF" w:themeColor="background1"/>
              </w:rPr>
            </w:pPr>
            <w:r w:rsidRPr="005C0B88">
              <w:rPr>
                <w:rFonts w:ascii="Arial" w:hAnsi="Arial" w:cs="Arial"/>
                <w:b/>
                <w:color w:val="FFFFFF" w:themeColor="background1"/>
              </w:rPr>
              <w:t>2019</w:t>
            </w:r>
          </w:p>
        </w:tc>
        <w:tc>
          <w:tcPr>
            <w:tcW w:w="3827" w:type="dxa"/>
            <w:shd w:val="clear" w:color="auto" w:fill="5F497A" w:themeFill="accent4" w:themeFillShade="BF"/>
            <w:vAlign w:val="center"/>
          </w:tcPr>
          <w:p w14:paraId="30EBE52C" w14:textId="77777777" w:rsidR="00CB10A2" w:rsidRPr="00144FEA" w:rsidRDefault="00CB10A2" w:rsidP="00CB10A2">
            <w:pPr>
              <w:tabs>
                <w:tab w:val="center" w:pos="6979"/>
              </w:tabs>
              <w:rPr>
                <w:rFonts w:ascii="Arial" w:hAnsi="Arial" w:cs="Arial"/>
                <w:b/>
                <w:i/>
                <w:color w:val="FFFFFF" w:themeColor="background1"/>
              </w:rPr>
            </w:pPr>
          </w:p>
        </w:tc>
        <w:tc>
          <w:tcPr>
            <w:tcW w:w="6582" w:type="dxa"/>
            <w:shd w:val="clear" w:color="auto" w:fill="5F497A" w:themeFill="accent4" w:themeFillShade="BF"/>
            <w:vAlign w:val="center"/>
          </w:tcPr>
          <w:p w14:paraId="30EBE52D" w14:textId="77777777" w:rsidR="00CB10A2" w:rsidRPr="00144FEA" w:rsidRDefault="00CB10A2" w:rsidP="00CB10A2">
            <w:pPr>
              <w:tabs>
                <w:tab w:val="center" w:pos="6979"/>
              </w:tabs>
              <w:rPr>
                <w:rFonts w:ascii="Arial" w:hAnsi="Arial" w:cs="Arial"/>
                <w:b/>
                <w:i/>
                <w:color w:val="FFFFFF" w:themeColor="background1"/>
              </w:rPr>
            </w:pPr>
          </w:p>
        </w:tc>
      </w:tr>
      <w:tr w:rsidR="00CB10A2" w:rsidRPr="00EC5DF1" w14:paraId="30EBE532" w14:textId="77777777" w:rsidTr="001870B4">
        <w:trPr>
          <w:trHeight w:val="325"/>
        </w:trPr>
        <w:tc>
          <w:tcPr>
            <w:tcW w:w="3431" w:type="dxa"/>
          </w:tcPr>
          <w:p w14:paraId="30EBE52F" w14:textId="77777777" w:rsidR="00CB10A2" w:rsidRPr="005F29F6" w:rsidRDefault="00CB10A2" w:rsidP="00CB10A2">
            <w:pPr>
              <w:tabs>
                <w:tab w:val="center" w:pos="6979"/>
              </w:tabs>
              <w:rPr>
                <w:rFonts w:cstheme="minorHAnsi"/>
              </w:rPr>
            </w:pPr>
            <w:r w:rsidRPr="005F29F6">
              <w:rPr>
                <w:rFonts w:cstheme="minorHAnsi"/>
              </w:rPr>
              <w:t xml:space="preserve">Imperial College </w:t>
            </w:r>
          </w:p>
        </w:tc>
        <w:tc>
          <w:tcPr>
            <w:tcW w:w="3827" w:type="dxa"/>
          </w:tcPr>
          <w:p w14:paraId="30EBE530" w14:textId="77777777" w:rsidR="00CB10A2" w:rsidRPr="005F29F6" w:rsidRDefault="00CB10A2" w:rsidP="00CB10A2">
            <w:pPr>
              <w:tabs>
                <w:tab w:val="center" w:pos="6979"/>
              </w:tabs>
              <w:rPr>
                <w:rFonts w:cstheme="minorHAnsi"/>
              </w:rPr>
            </w:pPr>
            <w:r w:rsidRPr="005F29F6">
              <w:rPr>
                <w:rFonts w:cstheme="minorHAnsi"/>
              </w:rPr>
              <w:t>AstraZeneca</w:t>
            </w:r>
          </w:p>
        </w:tc>
        <w:tc>
          <w:tcPr>
            <w:tcW w:w="6582" w:type="dxa"/>
          </w:tcPr>
          <w:p w14:paraId="30EBE531" w14:textId="77777777" w:rsidR="00CB10A2" w:rsidRPr="005F29F6" w:rsidRDefault="00CB10A2" w:rsidP="00CB10A2">
            <w:pPr>
              <w:tabs>
                <w:tab w:val="center" w:pos="6979"/>
              </w:tabs>
              <w:rPr>
                <w:rFonts w:cstheme="minorHAnsi"/>
              </w:rPr>
            </w:pPr>
            <w:r w:rsidRPr="005F29F6">
              <w:rPr>
                <w:rFonts w:cstheme="minorHAnsi"/>
              </w:rPr>
              <w:t xml:space="preserve">Understanding the role of </w:t>
            </w:r>
            <w:proofErr w:type="spellStart"/>
            <w:r w:rsidRPr="005F29F6">
              <w:rPr>
                <w:rFonts w:cstheme="minorHAnsi"/>
              </w:rPr>
              <w:t>cohesin</w:t>
            </w:r>
            <w:proofErr w:type="spellEnd"/>
            <w:r w:rsidRPr="005F29F6">
              <w:rPr>
                <w:rFonts w:cstheme="minorHAnsi"/>
              </w:rPr>
              <w:t xml:space="preserve"> and the impact of structural variation on gene expression regulation in the 3D genome</w:t>
            </w:r>
          </w:p>
        </w:tc>
      </w:tr>
      <w:tr w:rsidR="00CB10A2" w:rsidRPr="00EC5DF1" w14:paraId="30EBE536" w14:textId="77777777" w:rsidTr="001870B4">
        <w:trPr>
          <w:trHeight w:val="325"/>
        </w:trPr>
        <w:tc>
          <w:tcPr>
            <w:tcW w:w="3431" w:type="dxa"/>
          </w:tcPr>
          <w:p w14:paraId="30EBE533" w14:textId="385F16F4" w:rsidR="00CB10A2" w:rsidRPr="005F29F6" w:rsidRDefault="00CB10A2" w:rsidP="00CB10A2">
            <w:pPr>
              <w:tabs>
                <w:tab w:val="center" w:pos="6979"/>
              </w:tabs>
              <w:rPr>
                <w:rFonts w:cstheme="minorHAnsi"/>
              </w:rPr>
            </w:pPr>
            <w:r w:rsidRPr="005F29F6">
              <w:rPr>
                <w:rFonts w:cstheme="minorHAnsi"/>
              </w:rPr>
              <w:t>MRC Toxicology Unit</w:t>
            </w:r>
          </w:p>
        </w:tc>
        <w:tc>
          <w:tcPr>
            <w:tcW w:w="3827" w:type="dxa"/>
          </w:tcPr>
          <w:p w14:paraId="30EBE534" w14:textId="77777777" w:rsidR="00CB10A2" w:rsidRPr="005F29F6" w:rsidRDefault="00CB10A2" w:rsidP="00CB10A2">
            <w:pPr>
              <w:tabs>
                <w:tab w:val="center" w:pos="6979"/>
              </w:tabs>
              <w:rPr>
                <w:rFonts w:cstheme="minorHAnsi"/>
              </w:rPr>
            </w:pPr>
            <w:r w:rsidRPr="005F29F6">
              <w:rPr>
                <w:rFonts w:cstheme="minorHAnsi"/>
              </w:rPr>
              <w:t>AstraZeneca/ MRC Centre for Drug Safety Science / CRUK Cambridge Institute</w:t>
            </w:r>
          </w:p>
        </w:tc>
        <w:tc>
          <w:tcPr>
            <w:tcW w:w="6582" w:type="dxa"/>
          </w:tcPr>
          <w:p w14:paraId="30EBE535" w14:textId="77777777" w:rsidR="00CB10A2" w:rsidRPr="005F29F6" w:rsidRDefault="00CB10A2" w:rsidP="00CB10A2">
            <w:pPr>
              <w:tabs>
                <w:tab w:val="center" w:pos="6979"/>
              </w:tabs>
              <w:rPr>
                <w:rFonts w:cstheme="minorHAnsi"/>
              </w:rPr>
            </w:pPr>
            <w:r w:rsidRPr="005F29F6">
              <w:rPr>
                <w:rFonts w:cstheme="minorHAnsi"/>
              </w:rPr>
              <w:t>A detailed definition in preclinical models and patients of the immune cell depletion of the ATR inhibitor AZ6738 alone and in combination with gemcitabine.</w:t>
            </w:r>
          </w:p>
        </w:tc>
      </w:tr>
      <w:tr w:rsidR="00CB10A2" w:rsidRPr="00EC5DF1" w14:paraId="30EBE53A" w14:textId="77777777" w:rsidTr="001870B4">
        <w:trPr>
          <w:trHeight w:val="325"/>
        </w:trPr>
        <w:tc>
          <w:tcPr>
            <w:tcW w:w="3431" w:type="dxa"/>
          </w:tcPr>
          <w:p w14:paraId="30EBE537" w14:textId="77777777" w:rsidR="00CB10A2" w:rsidRPr="005F29F6" w:rsidRDefault="00CB10A2" w:rsidP="00CB10A2">
            <w:pPr>
              <w:tabs>
                <w:tab w:val="center" w:pos="6979"/>
              </w:tabs>
              <w:rPr>
                <w:rFonts w:cstheme="minorHAnsi"/>
              </w:rPr>
            </w:pPr>
            <w:r w:rsidRPr="005F29F6">
              <w:rPr>
                <w:rFonts w:cstheme="minorHAnsi"/>
              </w:rPr>
              <w:t>University of Leicester</w:t>
            </w:r>
          </w:p>
        </w:tc>
        <w:tc>
          <w:tcPr>
            <w:tcW w:w="3827" w:type="dxa"/>
          </w:tcPr>
          <w:p w14:paraId="30EBE538" w14:textId="77777777" w:rsidR="00CB10A2" w:rsidRPr="005F29F6" w:rsidRDefault="00CB10A2" w:rsidP="00CB10A2">
            <w:pPr>
              <w:tabs>
                <w:tab w:val="center" w:pos="6979"/>
              </w:tabs>
              <w:rPr>
                <w:rFonts w:cstheme="minorHAnsi"/>
              </w:rPr>
            </w:pPr>
            <w:r w:rsidRPr="005F29F6">
              <w:rPr>
                <w:rFonts w:cstheme="minorHAnsi"/>
              </w:rPr>
              <w:t>Public Health England</w:t>
            </w:r>
          </w:p>
        </w:tc>
        <w:tc>
          <w:tcPr>
            <w:tcW w:w="6582" w:type="dxa"/>
          </w:tcPr>
          <w:p w14:paraId="30EBE539" w14:textId="77777777" w:rsidR="00CB10A2" w:rsidRPr="005F29F6" w:rsidRDefault="00CB10A2" w:rsidP="00CB10A2">
            <w:pPr>
              <w:tabs>
                <w:tab w:val="center" w:pos="6979"/>
              </w:tabs>
              <w:rPr>
                <w:rFonts w:cstheme="minorHAnsi"/>
              </w:rPr>
            </w:pPr>
            <w:r w:rsidRPr="005F29F6">
              <w:rPr>
                <w:rFonts w:cstheme="minorHAnsi"/>
              </w:rPr>
              <w:t>A real-time molecular epidemiological investigation into the contribution of fungal spores to seasonal asthma spikes</w:t>
            </w:r>
          </w:p>
        </w:tc>
      </w:tr>
      <w:tr w:rsidR="00CB10A2" w:rsidRPr="00EC5DF1" w14:paraId="30EBE53E" w14:textId="77777777" w:rsidTr="001870B4">
        <w:trPr>
          <w:trHeight w:val="325"/>
        </w:trPr>
        <w:tc>
          <w:tcPr>
            <w:tcW w:w="3431" w:type="dxa"/>
          </w:tcPr>
          <w:p w14:paraId="30EBE53B" w14:textId="77777777" w:rsidR="00CB10A2" w:rsidRPr="005F29F6" w:rsidRDefault="00CB10A2" w:rsidP="00CB10A2">
            <w:pPr>
              <w:tabs>
                <w:tab w:val="center" w:pos="6979"/>
              </w:tabs>
              <w:rPr>
                <w:rFonts w:cstheme="minorHAnsi"/>
              </w:rPr>
            </w:pPr>
            <w:r w:rsidRPr="005F29F6">
              <w:rPr>
                <w:rFonts w:cstheme="minorHAnsi"/>
              </w:rPr>
              <w:t>Swansea University</w:t>
            </w:r>
          </w:p>
        </w:tc>
        <w:tc>
          <w:tcPr>
            <w:tcW w:w="3827" w:type="dxa"/>
          </w:tcPr>
          <w:p w14:paraId="30EBE53C" w14:textId="77777777" w:rsidR="00CB10A2" w:rsidRPr="005F29F6" w:rsidRDefault="00CB10A2" w:rsidP="00CB10A2">
            <w:pPr>
              <w:tabs>
                <w:tab w:val="center" w:pos="6979"/>
              </w:tabs>
              <w:rPr>
                <w:rFonts w:cstheme="minorHAnsi"/>
              </w:rPr>
            </w:pPr>
            <w:r w:rsidRPr="005F29F6">
              <w:rPr>
                <w:rFonts w:cstheme="minorHAnsi"/>
              </w:rPr>
              <w:t>AstraZeneca</w:t>
            </w:r>
          </w:p>
        </w:tc>
        <w:tc>
          <w:tcPr>
            <w:tcW w:w="6582" w:type="dxa"/>
          </w:tcPr>
          <w:p w14:paraId="30EBE53D" w14:textId="77777777" w:rsidR="00CB10A2" w:rsidRPr="005F29F6" w:rsidRDefault="00CB10A2" w:rsidP="00CB10A2">
            <w:pPr>
              <w:tabs>
                <w:tab w:val="center" w:pos="6979"/>
              </w:tabs>
              <w:rPr>
                <w:rFonts w:cstheme="minorHAnsi"/>
              </w:rPr>
            </w:pPr>
            <w:r w:rsidRPr="005F29F6">
              <w:rPr>
                <w:rFonts w:cstheme="minorHAnsi"/>
              </w:rPr>
              <w:t>High content imaging and the use of machine learning in genotoxicity space</w:t>
            </w:r>
          </w:p>
        </w:tc>
      </w:tr>
      <w:tr w:rsidR="00CB10A2" w:rsidRPr="00EC5DF1" w14:paraId="30EBE542" w14:textId="77777777" w:rsidTr="001870B4">
        <w:trPr>
          <w:trHeight w:val="325"/>
        </w:trPr>
        <w:tc>
          <w:tcPr>
            <w:tcW w:w="3431" w:type="dxa"/>
            <w:shd w:val="clear" w:color="auto" w:fill="5F497A" w:themeFill="accent4" w:themeFillShade="BF"/>
            <w:vAlign w:val="center"/>
          </w:tcPr>
          <w:p w14:paraId="30EBE53F" w14:textId="77777777" w:rsidR="00CB10A2" w:rsidRPr="00F92DC0" w:rsidRDefault="00CB10A2" w:rsidP="00CB10A2">
            <w:pPr>
              <w:tabs>
                <w:tab w:val="center" w:pos="6979"/>
              </w:tabs>
              <w:rPr>
                <w:rFonts w:ascii="Arial" w:hAnsi="Arial" w:cs="Arial"/>
                <w:b/>
                <w:iCs/>
                <w:color w:val="FFFFFF" w:themeColor="background1"/>
              </w:rPr>
            </w:pPr>
            <w:r w:rsidRPr="00F92DC0">
              <w:rPr>
                <w:rFonts w:ascii="Arial" w:hAnsi="Arial" w:cs="Arial"/>
                <w:b/>
                <w:iCs/>
                <w:color w:val="FFFFFF" w:themeColor="background1"/>
              </w:rPr>
              <w:t>2018</w:t>
            </w:r>
          </w:p>
        </w:tc>
        <w:tc>
          <w:tcPr>
            <w:tcW w:w="3827" w:type="dxa"/>
            <w:shd w:val="clear" w:color="auto" w:fill="5F497A" w:themeFill="accent4" w:themeFillShade="BF"/>
            <w:vAlign w:val="center"/>
          </w:tcPr>
          <w:p w14:paraId="30EBE540" w14:textId="77777777" w:rsidR="00CB10A2" w:rsidRPr="00F92DC0" w:rsidRDefault="00CB10A2" w:rsidP="00CB10A2">
            <w:pPr>
              <w:tabs>
                <w:tab w:val="center" w:pos="6979"/>
              </w:tabs>
              <w:rPr>
                <w:rFonts w:ascii="Arial" w:hAnsi="Arial" w:cs="Arial"/>
                <w:b/>
                <w:iCs/>
                <w:color w:val="FFFFFF" w:themeColor="background1"/>
              </w:rPr>
            </w:pPr>
          </w:p>
        </w:tc>
        <w:tc>
          <w:tcPr>
            <w:tcW w:w="6582" w:type="dxa"/>
            <w:shd w:val="clear" w:color="auto" w:fill="5F497A" w:themeFill="accent4" w:themeFillShade="BF"/>
            <w:vAlign w:val="center"/>
          </w:tcPr>
          <w:p w14:paraId="30EBE541" w14:textId="77777777" w:rsidR="00CB10A2" w:rsidRPr="00F92DC0" w:rsidRDefault="00CB10A2" w:rsidP="00CB10A2">
            <w:pPr>
              <w:tabs>
                <w:tab w:val="center" w:pos="6979"/>
              </w:tabs>
              <w:rPr>
                <w:rFonts w:ascii="Arial" w:hAnsi="Arial" w:cs="Arial"/>
                <w:b/>
                <w:iCs/>
                <w:color w:val="FFFFFF" w:themeColor="background1"/>
              </w:rPr>
            </w:pPr>
          </w:p>
        </w:tc>
      </w:tr>
      <w:tr w:rsidR="00CB10A2" w:rsidRPr="00EC5DF1" w14:paraId="30EBE546" w14:textId="77777777" w:rsidTr="001870B4">
        <w:trPr>
          <w:trHeight w:val="325"/>
        </w:trPr>
        <w:tc>
          <w:tcPr>
            <w:tcW w:w="3431" w:type="dxa"/>
          </w:tcPr>
          <w:p w14:paraId="30EBE543" w14:textId="77777777" w:rsidR="00CB10A2" w:rsidRPr="005F29F6" w:rsidRDefault="00CB10A2" w:rsidP="00CB10A2">
            <w:pPr>
              <w:tabs>
                <w:tab w:val="center" w:pos="6979"/>
              </w:tabs>
              <w:rPr>
                <w:rFonts w:cstheme="minorHAnsi"/>
              </w:rPr>
            </w:pPr>
            <w:r w:rsidRPr="005F29F6">
              <w:rPr>
                <w:rFonts w:cstheme="minorHAnsi"/>
              </w:rPr>
              <w:t>University of Oxford</w:t>
            </w:r>
          </w:p>
        </w:tc>
        <w:tc>
          <w:tcPr>
            <w:tcW w:w="3827" w:type="dxa"/>
          </w:tcPr>
          <w:p w14:paraId="30EBE544" w14:textId="77777777" w:rsidR="00CB10A2" w:rsidRPr="005F29F6" w:rsidRDefault="00CB10A2" w:rsidP="00CB10A2">
            <w:pPr>
              <w:tabs>
                <w:tab w:val="center" w:pos="6979"/>
              </w:tabs>
              <w:rPr>
                <w:rFonts w:cstheme="minorHAnsi"/>
              </w:rPr>
            </w:pPr>
            <w:r w:rsidRPr="005F29F6">
              <w:rPr>
                <w:rFonts w:cstheme="minorHAnsi"/>
              </w:rPr>
              <w:t>Syngenta</w:t>
            </w:r>
          </w:p>
        </w:tc>
        <w:tc>
          <w:tcPr>
            <w:tcW w:w="6582" w:type="dxa"/>
          </w:tcPr>
          <w:p w14:paraId="30EBE545" w14:textId="77777777" w:rsidR="00CB10A2" w:rsidRPr="005F29F6" w:rsidRDefault="00CB10A2" w:rsidP="00CB10A2">
            <w:pPr>
              <w:tabs>
                <w:tab w:val="center" w:pos="6979"/>
              </w:tabs>
              <w:rPr>
                <w:rFonts w:cstheme="minorHAnsi"/>
              </w:rPr>
            </w:pPr>
            <w:r w:rsidRPr="005F29F6">
              <w:rPr>
                <w:rFonts w:cstheme="minorHAnsi"/>
              </w:rPr>
              <w:t>Novel genetic approaches to predictive developmental and reproductive toxicology</w:t>
            </w:r>
          </w:p>
        </w:tc>
      </w:tr>
      <w:tr w:rsidR="00CB10A2" w:rsidRPr="00EC5DF1" w14:paraId="30EBE54A" w14:textId="77777777" w:rsidTr="001870B4">
        <w:trPr>
          <w:trHeight w:val="325"/>
        </w:trPr>
        <w:tc>
          <w:tcPr>
            <w:tcW w:w="3431" w:type="dxa"/>
          </w:tcPr>
          <w:p w14:paraId="30EBE547" w14:textId="77777777" w:rsidR="00CB10A2" w:rsidRPr="005F29F6" w:rsidRDefault="00CB10A2" w:rsidP="00CB10A2">
            <w:pPr>
              <w:tabs>
                <w:tab w:val="center" w:pos="6979"/>
              </w:tabs>
              <w:rPr>
                <w:rFonts w:cstheme="minorHAnsi"/>
              </w:rPr>
            </w:pPr>
            <w:r w:rsidRPr="005F29F6">
              <w:rPr>
                <w:rFonts w:cstheme="minorHAnsi"/>
              </w:rPr>
              <w:t>Imperial College</w:t>
            </w:r>
          </w:p>
        </w:tc>
        <w:tc>
          <w:tcPr>
            <w:tcW w:w="3827" w:type="dxa"/>
          </w:tcPr>
          <w:p w14:paraId="30EBE548" w14:textId="20459F02" w:rsidR="00CB10A2" w:rsidRPr="005F29F6" w:rsidRDefault="00CB10A2" w:rsidP="00CB10A2">
            <w:pPr>
              <w:tabs>
                <w:tab w:val="center" w:pos="6979"/>
              </w:tabs>
              <w:rPr>
                <w:rFonts w:cstheme="minorHAnsi"/>
              </w:rPr>
            </w:pPr>
            <w:r w:rsidRPr="005F29F6">
              <w:rPr>
                <w:rFonts w:cstheme="minorHAnsi"/>
              </w:rPr>
              <w:t>AstraZeneca, MRC Toxicology Unit</w:t>
            </w:r>
          </w:p>
        </w:tc>
        <w:tc>
          <w:tcPr>
            <w:tcW w:w="6582" w:type="dxa"/>
          </w:tcPr>
          <w:p w14:paraId="30EBE549" w14:textId="77777777" w:rsidR="00CB10A2" w:rsidRPr="005F29F6" w:rsidRDefault="00CB10A2" w:rsidP="00CB10A2">
            <w:pPr>
              <w:tabs>
                <w:tab w:val="center" w:pos="6979"/>
              </w:tabs>
              <w:rPr>
                <w:rFonts w:cstheme="minorHAnsi"/>
              </w:rPr>
            </w:pPr>
            <w:r w:rsidRPr="005F29F6">
              <w:rPr>
                <w:rFonts w:cstheme="minorHAnsi"/>
              </w:rPr>
              <w:t>Developing Predictive Phenotypic Signatures of Drug-Induced Mitochondrial Toxicity</w:t>
            </w:r>
          </w:p>
        </w:tc>
      </w:tr>
      <w:tr w:rsidR="00CB10A2" w:rsidRPr="00EC5DF1" w14:paraId="30EBE54E" w14:textId="77777777" w:rsidTr="001870B4">
        <w:trPr>
          <w:trHeight w:val="325"/>
        </w:trPr>
        <w:tc>
          <w:tcPr>
            <w:tcW w:w="3431" w:type="dxa"/>
          </w:tcPr>
          <w:p w14:paraId="30EBE54B" w14:textId="77274573" w:rsidR="00CB10A2" w:rsidRPr="005F29F6" w:rsidRDefault="00CB10A2" w:rsidP="00CB10A2">
            <w:pPr>
              <w:tabs>
                <w:tab w:val="center" w:pos="6979"/>
              </w:tabs>
              <w:rPr>
                <w:rFonts w:cstheme="minorHAnsi"/>
              </w:rPr>
            </w:pPr>
            <w:r w:rsidRPr="005F29F6">
              <w:rPr>
                <w:rFonts w:cstheme="minorHAnsi"/>
              </w:rPr>
              <w:t>MRC Centre for Drug Safety Sciences</w:t>
            </w:r>
          </w:p>
        </w:tc>
        <w:tc>
          <w:tcPr>
            <w:tcW w:w="3827" w:type="dxa"/>
          </w:tcPr>
          <w:p w14:paraId="30EBE54C" w14:textId="77777777" w:rsidR="00CB10A2" w:rsidRPr="005F29F6" w:rsidRDefault="00CB10A2" w:rsidP="00CB10A2">
            <w:pPr>
              <w:tabs>
                <w:tab w:val="center" w:pos="6979"/>
              </w:tabs>
              <w:rPr>
                <w:rFonts w:cstheme="minorHAnsi"/>
              </w:rPr>
            </w:pPr>
            <w:r w:rsidRPr="005F29F6">
              <w:rPr>
                <w:rFonts w:cstheme="minorHAnsi"/>
              </w:rPr>
              <w:t>GSK</w:t>
            </w:r>
          </w:p>
        </w:tc>
        <w:tc>
          <w:tcPr>
            <w:tcW w:w="6582" w:type="dxa"/>
          </w:tcPr>
          <w:p w14:paraId="30EBE54D" w14:textId="77777777" w:rsidR="00CB10A2" w:rsidRPr="005F29F6" w:rsidRDefault="00CB10A2" w:rsidP="00CB10A2">
            <w:pPr>
              <w:tabs>
                <w:tab w:val="center" w:pos="6979"/>
              </w:tabs>
              <w:rPr>
                <w:rFonts w:cstheme="minorHAnsi"/>
              </w:rPr>
            </w:pPr>
            <w:r w:rsidRPr="005F29F6">
              <w:rPr>
                <w:rFonts w:cstheme="minorHAnsi"/>
              </w:rPr>
              <w:t>Evaluation of Organoids and Systems Biology to develop Adverse Outcome Pathways of Gastrointestinal Toxicity</w:t>
            </w:r>
          </w:p>
        </w:tc>
      </w:tr>
      <w:tr w:rsidR="00CB10A2" w:rsidRPr="00EC5DF1" w14:paraId="30EBE553" w14:textId="77777777" w:rsidTr="001870B4">
        <w:trPr>
          <w:trHeight w:val="273"/>
        </w:trPr>
        <w:tc>
          <w:tcPr>
            <w:tcW w:w="3431" w:type="dxa"/>
          </w:tcPr>
          <w:p w14:paraId="30EBE54F" w14:textId="77777777" w:rsidR="00CB10A2" w:rsidRPr="005F29F6" w:rsidRDefault="00CB10A2" w:rsidP="00CB10A2">
            <w:pPr>
              <w:tabs>
                <w:tab w:val="center" w:pos="6979"/>
              </w:tabs>
              <w:rPr>
                <w:rFonts w:cstheme="minorHAnsi"/>
              </w:rPr>
            </w:pPr>
            <w:r w:rsidRPr="005F29F6">
              <w:rPr>
                <w:rFonts w:cstheme="minorHAnsi"/>
              </w:rPr>
              <w:t>MRC Toxicology Unit</w:t>
            </w:r>
          </w:p>
        </w:tc>
        <w:tc>
          <w:tcPr>
            <w:tcW w:w="3827" w:type="dxa"/>
          </w:tcPr>
          <w:p w14:paraId="30EBE550" w14:textId="77777777" w:rsidR="00CB10A2" w:rsidRPr="005F29F6" w:rsidRDefault="00CB10A2" w:rsidP="00CB10A2">
            <w:pPr>
              <w:tabs>
                <w:tab w:val="center" w:pos="6979"/>
              </w:tabs>
              <w:rPr>
                <w:rFonts w:cstheme="minorHAnsi"/>
              </w:rPr>
            </w:pPr>
            <w:r w:rsidRPr="005F29F6">
              <w:rPr>
                <w:rFonts w:cstheme="minorHAnsi"/>
              </w:rPr>
              <w:t xml:space="preserve">AstraZeneca </w:t>
            </w:r>
          </w:p>
        </w:tc>
        <w:tc>
          <w:tcPr>
            <w:tcW w:w="6582" w:type="dxa"/>
          </w:tcPr>
          <w:p w14:paraId="30EBE551" w14:textId="77777777" w:rsidR="00CB10A2" w:rsidRPr="005F29F6" w:rsidRDefault="00CB10A2" w:rsidP="00CB10A2">
            <w:pPr>
              <w:tabs>
                <w:tab w:val="center" w:pos="6979"/>
              </w:tabs>
              <w:rPr>
                <w:rFonts w:cstheme="minorHAnsi"/>
              </w:rPr>
            </w:pPr>
            <w:r w:rsidRPr="005F29F6">
              <w:rPr>
                <w:rFonts w:cstheme="minorHAnsi"/>
              </w:rPr>
              <w:t>Human iPS cell derived models of drug-induced neurotoxic effects on mitochondrial biology and</w:t>
            </w:r>
          </w:p>
          <w:p w14:paraId="30EBE552" w14:textId="77777777" w:rsidR="00CB10A2" w:rsidRPr="005F29F6" w:rsidRDefault="00CB10A2" w:rsidP="00CB10A2">
            <w:pPr>
              <w:tabs>
                <w:tab w:val="center" w:pos="6979"/>
              </w:tabs>
              <w:rPr>
                <w:rFonts w:cstheme="minorHAnsi"/>
              </w:rPr>
            </w:pPr>
            <w:r w:rsidRPr="005F29F6">
              <w:rPr>
                <w:rFonts w:cstheme="minorHAnsi"/>
              </w:rPr>
              <w:t>metabolism</w:t>
            </w:r>
          </w:p>
        </w:tc>
      </w:tr>
      <w:tr w:rsidR="00CB10A2" w:rsidRPr="00EC5DF1" w14:paraId="30EBE557" w14:textId="77777777" w:rsidTr="005E5549">
        <w:trPr>
          <w:trHeight w:val="398"/>
        </w:trPr>
        <w:tc>
          <w:tcPr>
            <w:tcW w:w="3431" w:type="dxa"/>
            <w:shd w:val="clear" w:color="auto" w:fill="5F497A" w:themeFill="accent4" w:themeFillShade="BF"/>
            <w:vAlign w:val="center"/>
          </w:tcPr>
          <w:p w14:paraId="30EBE554" w14:textId="77777777" w:rsidR="00CB10A2" w:rsidRPr="00F84C47" w:rsidRDefault="00CB10A2" w:rsidP="00CB10A2">
            <w:pPr>
              <w:tabs>
                <w:tab w:val="center" w:pos="6979"/>
              </w:tabs>
              <w:rPr>
                <w:rFonts w:ascii="Arial" w:hAnsi="Arial" w:cs="Arial"/>
                <w:b/>
                <w:iCs/>
                <w:color w:val="FFFFFF" w:themeColor="background1"/>
              </w:rPr>
            </w:pPr>
            <w:r w:rsidRPr="00F84C47">
              <w:rPr>
                <w:rFonts w:ascii="Arial" w:hAnsi="Arial" w:cs="Arial"/>
                <w:b/>
                <w:iCs/>
                <w:color w:val="FFFFFF" w:themeColor="background1"/>
              </w:rPr>
              <w:t>2016</w:t>
            </w:r>
          </w:p>
        </w:tc>
        <w:tc>
          <w:tcPr>
            <w:tcW w:w="3827" w:type="dxa"/>
            <w:shd w:val="clear" w:color="auto" w:fill="5F497A" w:themeFill="accent4" w:themeFillShade="BF"/>
            <w:vAlign w:val="center"/>
          </w:tcPr>
          <w:p w14:paraId="30EBE555" w14:textId="77777777" w:rsidR="00CB10A2" w:rsidRPr="00F84C47" w:rsidRDefault="00CB10A2" w:rsidP="00CB10A2">
            <w:pPr>
              <w:tabs>
                <w:tab w:val="center" w:pos="6979"/>
              </w:tabs>
              <w:rPr>
                <w:rFonts w:ascii="Arial" w:hAnsi="Arial" w:cs="Arial"/>
                <w:b/>
                <w:iCs/>
                <w:color w:val="6A3B77"/>
              </w:rPr>
            </w:pPr>
          </w:p>
        </w:tc>
        <w:tc>
          <w:tcPr>
            <w:tcW w:w="6582" w:type="dxa"/>
            <w:shd w:val="clear" w:color="auto" w:fill="5F497A" w:themeFill="accent4" w:themeFillShade="BF"/>
            <w:vAlign w:val="center"/>
          </w:tcPr>
          <w:p w14:paraId="30EBE556" w14:textId="77777777" w:rsidR="00CB10A2" w:rsidRPr="00F84C47" w:rsidRDefault="00CB10A2" w:rsidP="00CB10A2">
            <w:pPr>
              <w:tabs>
                <w:tab w:val="center" w:pos="6979"/>
              </w:tabs>
              <w:rPr>
                <w:rFonts w:ascii="Arial" w:hAnsi="Arial" w:cs="Arial"/>
                <w:b/>
                <w:iCs/>
                <w:color w:val="6A3B77"/>
              </w:rPr>
            </w:pPr>
          </w:p>
        </w:tc>
      </w:tr>
      <w:tr w:rsidR="00CB10A2" w:rsidRPr="00EC5DF1" w14:paraId="30EBE55B" w14:textId="77777777" w:rsidTr="001870B4">
        <w:tc>
          <w:tcPr>
            <w:tcW w:w="3431" w:type="dxa"/>
          </w:tcPr>
          <w:p w14:paraId="30EBE558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lastRenderedPageBreak/>
              <w:t>University of Durham/ Newcastle University</w:t>
            </w:r>
          </w:p>
        </w:tc>
        <w:tc>
          <w:tcPr>
            <w:tcW w:w="3827" w:type="dxa"/>
          </w:tcPr>
          <w:p w14:paraId="30EBE559" w14:textId="60C3EA68" w:rsidR="00CB10A2" w:rsidRPr="000C6A71" w:rsidRDefault="00CB10A2" w:rsidP="00CB10A2">
            <w:pPr>
              <w:pStyle w:val="NoSpacing"/>
              <w:rPr>
                <w:rFonts w:cstheme="minorHAnsi"/>
                <w:bCs/>
              </w:rPr>
            </w:pPr>
            <w:r w:rsidRPr="000C6A71">
              <w:rPr>
                <w:rFonts w:cstheme="minorHAnsi"/>
              </w:rPr>
              <w:t xml:space="preserve">MRC Centre for Drug Safety Sciences </w:t>
            </w:r>
            <w:r w:rsidRPr="000C6A71">
              <w:rPr>
                <w:rFonts w:cstheme="minorHAnsi"/>
                <w:bCs/>
              </w:rPr>
              <w:t>/ Covance / UCB Biopharma SPRL</w:t>
            </w:r>
          </w:p>
        </w:tc>
        <w:tc>
          <w:tcPr>
            <w:tcW w:w="6582" w:type="dxa"/>
          </w:tcPr>
          <w:p w14:paraId="30EBE55A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  <w:bCs/>
              </w:rPr>
              <w:t xml:space="preserve">Evaluation of methodologies for </w:t>
            </w:r>
            <w:r w:rsidRPr="000C6A71">
              <w:rPr>
                <w:rFonts w:cstheme="minorHAnsi"/>
                <w:bCs/>
                <w:i/>
                <w:iCs/>
              </w:rPr>
              <w:t xml:space="preserve">in vitro </w:t>
            </w:r>
            <w:r w:rsidRPr="000C6A71">
              <w:rPr>
                <w:rFonts w:cstheme="minorHAnsi"/>
                <w:bCs/>
              </w:rPr>
              <w:t xml:space="preserve">prediction of human drug-induced </w:t>
            </w:r>
            <w:proofErr w:type="spellStart"/>
            <w:r w:rsidRPr="000C6A71">
              <w:rPr>
                <w:rFonts w:cstheme="minorHAnsi"/>
                <w:bCs/>
              </w:rPr>
              <w:t>proarrythmia</w:t>
            </w:r>
            <w:proofErr w:type="spellEnd"/>
            <w:r w:rsidRPr="000C6A71">
              <w:rPr>
                <w:rFonts w:cstheme="minorHAnsi"/>
                <w:bCs/>
              </w:rPr>
              <w:t xml:space="preserve"> and cardiotoxicity of oncology therapeutics.</w:t>
            </w:r>
          </w:p>
        </w:tc>
      </w:tr>
      <w:tr w:rsidR="00CB10A2" w:rsidRPr="00EC5DF1" w14:paraId="30EBE55F" w14:textId="77777777" w:rsidTr="001870B4">
        <w:tc>
          <w:tcPr>
            <w:tcW w:w="3431" w:type="dxa"/>
          </w:tcPr>
          <w:p w14:paraId="30EBE55C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>MRC Toxicology Unit</w:t>
            </w:r>
          </w:p>
        </w:tc>
        <w:tc>
          <w:tcPr>
            <w:tcW w:w="3827" w:type="dxa"/>
          </w:tcPr>
          <w:p w14:paraId="30EBE55D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>University of Nottingham</w:t>
            </w:r>
          </w:p>
        </w:tc>
        <w:tc>
          <w:tcPr>
            <w:tcW w:w="6582" w:type="dxa"/>
          </w:tcPr>
          <w:p w14:paraId="30EBE55E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>Adverse outcome pathways for examining toxicity in neurons</w:t>
            </w:r>
          </w:p>
        </w:tc>
      </w:tr>
      <w:tr w:rsidR="00CB10A2" w:rsidRPr="00EC5DF1" w14:paraId="30EBE563" w14:textId="77777777" w:rsidTr="001870B4">
        <w:trPr>
          <w:trHeight w:val="307"/>
        </w:trPr>
        <w:tc>
          <w:tcPr>
            <w:tcW w:w="3431" w:type="dxa"/>
          </w:tcPr>
          <w:p w14:paraId="30EBE560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>MRC Toxicology Unit</w:t>
            </w:r>
          </w:p>
        </w:tc>
        <w:tc>
          <w:tcPr>
            <w:tcW w:w="3827" w:type="dxa"/>
          </w:tcPr>
          <w:p w14:paraId="30EBE561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>AstraZeneca</w:t>
            </w:r>
          </w:p>
        </w:tc>
        <w:tc>
          <w:tcPr>
            <w:tcW w:w="6582" w:type="dxa"/>
          </w:tcPr>
          <w:p w14:paraId="30EBE562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>To explore the toxicity pathways induced by cellular delivery of modified nucleotides</w:t>
            </w:r>
          </w:p>
        </w:tc>
      </w:tr>
      <w:tr w:rsidR="00CB10A2" w:rsidRPr="00EC5DF1" w14:paraId="30EBE567" w14:textId="77777777" w:rsidTr="001870B4">
        <w:trPr>
          <w:trHeight w:val="788"/>
        </w:trPr>
        <w:tc>
          <w:tcPr>
            <w:tcW w:w="3431" w:type="dxa"/>
          </w:tcPr>
          <w:p w14:paraId="30EBE564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>University of the West of England, Bristol</w:t>
            </w:r>
          </w:p>
        </w:tc>
        <w:tc>
          <w:tcPr>
            <w:tcW w:w="3827" w:type="dxa"/>
          </w:tcPr>
          <w:p w14:paraId="30EBE565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>AstraZeneca</w:t>
            </w:r>
          </w:p>
        </w:tc>
        <w:tc>
          <w:tcPr>
            <w:tcW w:w="6582" w:type="dxa"/>
          </w:tcPr>
          <w:p w14:paraId="30EBE566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>Bridging in vitro and in vivo testing: the utilisation of a novel in vitro three-dimensional model of the human bone marrow for toxicity and genotoxicity testing</w:t>
            </w:r>
          </w:p>
        </w:tc>
      </w:tr>
      <w:tr w:rsidR="00CB10A2" w:rsidRPr="00EC5DF1" w14:paraId="30EBE56B" w14:textId="77777777" w:rsidTr="001870B4">
        <w:tc>
          <w:tcPr>
            <w:tcW w:w="3431" w:type="dxa"/>
            <w:shd w:val="clear" w:color="auto" w:fill="5F497A" w:themeFill="accent4" w:themeFillShade="BF"/>
          </w:tcPr>
          <w:p w14:paraId="30EBE568" w14:textId="77777777" w:rsidR="00CB10A2" w:rsidRPr="002A39A5" w:rsidRDefault="00CB10A2" w:rsidP="00CB10A2">
            <w:pPr>
              <w:tabs>
                <w:tab w:val="center" w:pos="6979"/>
              </w:tabs>
              <w:rPr>
                <w:rFonts w:ascii="Arial" w:hAnsi="Arial" w:cs="Arial"/>
                <w:b/>
                <w:iCs/>
                <w:color w:val="FFFFFF" w:themeColor="background1"/>
                <w:sz w:val="24"/>
                <w:szCs w:val="20"/>
              </w:rPr>
            </w:pPr>
            <w:r w:rsidRPr="002A39A5">
              <w:rPr>
                <w:rFonts w:ascii="Arial" w:hAnsi="Arial" w:cs="Arial"/>
                <w:b/>
                <w:iCs/>
                <w:color w:val="FFFFFF" w:themeColor="background1"/>
                <w:szCs w:val="20"/>
              </w:rPr>
              <w:t>2015</w:t>
            </w:r>
          </w:p>
        </w:tc>
        <w:tc>
          <w:tcPr>
            <w:tcW w:w="3827" w:type="dxa"/>
            <w:shd w:val="clear" w:color="auto" w:fill="5F497A" w:themeFill="accent4" w:themeFillShade="BF"/>
          </w:tcPr>
          <w:p w14:paraId="30EBE569" w14:textId="77777777" w:rsidR="00CB10A2" w:rsidRPr="002A39A5" w:rsidRDefault="00CB10A2" w:rsidP="00CB10A2">
            <w:pPr>
              <w:tabs>
                <w:tab w:val="center" w:pos="6979"/>
              </w:tabs>
              <w:rPr>
                <w:rFonts w:ascii="Arial" w:hAnsi="Arial" w:cs="Arial"/>
                <w:b/>
                <w:iCs/>
                <w:color w:val="FFFFFF" w:themeColor="background1"/>
                <w:sz w:val="24"/>
                <w:szCs w:val="20"/>
              </w:rPr>
            </w:pPr>
          </w:p>
        </w:tc>
        <w:tc>
          <w:tcPr>
            <w:tcW w:w="6582" w:type="dxa"/>
            <w:shd w:val="clear" w:color="auto" w:fill="5F497A" w:themeFill="accent4" w:themeFillShade="BF"/>
          </w:tcPr>
          <w:p w14:paraId="30EBE56A" w14:textId="77777777" w:rsidR="00CB10A2" w:rsidRPr="002A39A5" w:rsidRDefault="00CB10A2" w:rsidP="00CB10A2">
            <w:pPr>
              <w:tabs>
                <w:tab w:val="center" w:pos="6979"/>
              </w:tabs>
              <w:rPr>
                <w:rFonts w:ascii="Arial" w:hAnsi="Arial" w:cs="Arial"/>
                <w:b/>
                <w:iCs/>
                <w:color w:val="FFFFFF" w:themeColor="background1"/>
                <w:sz w:val="24"/>
                <w:szCs w:val="20"/>
              </w:rPr>
            </w:pPr>
          </w:p>
        </w:tc>
      </w:tr>
      <w:tr w:rsidR="00CB10A2" w:rsidRPr="00EC5DF1" w14:paraId="30EBE570" w14:textId="77777777" w:rsidTr="001870B4">
        <w:tc>
          <w:tcPr>
            <w:tcW w:w="3431" w:type="dxa"/>
          </w:tcPr>
          <w:p w14:paraId="30EBE56C" w14:textId="77777777" w:rsidR="00CB10A2" w:rsidRPr="000C6A71" w:rsidRDefault="00CB10A2" w:rsidP="00CB10A2">
            <w:pPr>
              <w:rPr>
                <w:rFonts w:cstheme="minorHAnsi"/>
              </w:rPr>
            </w:pPr>
            <w:r w:rsidRPr="000C6A71">
              <w:rPr>
                <w:rFonts w:cstheme="minorHAnsi"/>
              </w:rPr>
              <w:t>University of Cambridge</w:t>
            </w:r>
          </w:p>
        </w:tc>
        <w:tc>
          <w:tcPr>
            <w:tcW w:w="3827" w:type="dxa"/>
          </w:tcPr>
          <w:p w14:paraId="30EBE56D" w14:textId="77777777" w:rsidR="00CB10A2" w:rsidRPr="000C6A71" w:rsidRDefault="00CB10A2" w:rsidP="00CB10A2">
            <w:pPr>
              <w:rPr>
                <w:rFonts w:cstheme="minorHAnsi"/>
              </w:rPr>
            </w:pPr>
            <w:r w:rsidRPr="000C6A71">
              <w:rPr>
                <w:rFonts w:cstheme="minorHAnsi"/>
              </w:rPr>
              <w:t>AstraZeneca</w:t>
            </w:r>
          </w:p>
        </w:tc>
        <w:tc>
          <w:tcPr>
            <w:tcW w:w="6582" w:type="dxa"/>
          </w:tcPr>
          <w:p w14:paraId="30EBE56E" w14:textId="77777777" w:rsidR="00CB10A2" w:rsidRPr="000C6A71" w:rsidRDefault="00CB10A2" w:rsidP="00CB10A2">
            <w:pPr>
              <w:rPr>
                <w:rFonts w:cstheme="minorHAnsi"/>
              </w:rPr>
            </w:pPr>
            <w:r w:rsidRPr="000C6A71">
              <w:rPr>
                <w:rFonts w:cstheme="minorHAnsi"/>
              </w:rPr>
              <w:t xml:space="preserve">Molecular mechanisms of bile salt export pump </w:t>
            </w:r>
          </w:p>
          <w:p w14:paraId="30EBE56F" w14:textId="77777777" w:rsidR="00CB10A2" w:rsidRPr="000C6A71" w:rsidRDefault="00CB10A2" w:rsidP="00CB10A2">
            <w:pPr>
              <w:rPr>
                <w:rFonts w:cstheme="minorHAnsi"/>
              </w:rPr>
            </w:pPr>
            <w:r w:rsidRPr="000C6A71">
              <w:rPr>
                <w:rFonts w:cstheme="minorHAnsi"/>
              </w:rPr>
              <w:t>(BSEP) inhibition in drug-induced liver injury</w:t>
            </w:r>
          </w:p>
        </w:tc>
      </w:tr>
      <w:tr w:rsidR="00CB10A2" w:rsidRPr="00EC5DF1" w14:paraId="30EBE574" w14:textId="77777777" w:rsidTr="001870B4">
        <w:tc>
          <w:tcPr>
            <w:tcW w:w="3431" w:type="dxa"/>
          </w:tcPr>
          <w:p w14:paraId="30EBE571" w14:textId="77777777" w:rsidR="00CB10A2" w:rsidRPr="000C6A71" w:rsidRDefault="00CB10A2" w:rsidP="00CB10A2">
            <w:pPr>
              <w:rPr>
                <w:rFonts w:cstheme="minorHAnsi"/>
              </w:rPr>
            </w:pPr>
            <w:r w:rsidRPr="000C6A71">
              <w:rPr>
                <w:rFonts w:cstheme="minorHAnsi"/>
              </w:rPr>
              <w:t>MRC Toxicology Unit</w:t>
            </w:r>
          </w:p>
        </w:tc>
        <w:tc>
          <w:tcPr>
            <w:tcW w:w="3827" w:type="dxa"/>
          </w:tcPr>
          <w:p w14:paraId="30EBE572" w14:textId="77777777" w:rsidR="00CB10A2" w:rsidRPr="000C6A71" w:rsidRDefault="00CB10A2" w:rsidP="00CB10A2">
            <w:pPr>
              <w:rPr>
                <w:rFonts w:cstheme="minorHAnsi"/>
              </w:rPr>
            </w:pPr>
            <w:r w:rsidRPr="000C6A71">
              <w:rPr>
                <w:rFonts w:cstheme="minorHAnsi"/>
              </w:rPr>
              <w:t>AstraZeneca</w:t>
            </w:r>
          </w:p>
        </w:tc>
        <w:tc>
          <w:tcPr>
            <w:tcW w:w="6582" w:type="dxa"/>
          </w:tcPr>
          <w:p w14:paraId="30EBE573" w14:textId="77777777" w:rsidR="00CB10A2" w:rsidRPr="000C6A71" w:rsidRDefault="00CB10A2" w:rsidP="00CB10A2">
            <w:pPr>
              <w:rPr>
                <w:rFonts w:cstheme="minorHAnsi"/>
              </w:rPr>
            </w:pPr>
            <w:r w:rsidRPr="000C6A71">
              <w:rPr>
                <w:rFonts w:cstheme="minorHAnsi"/>
              </w:rPr>
              <w:t>Designing novel mRNA-based therapeutic approaches for non-toxic delivery of genetic material</w:t>
            </w:r>
          </w:p>
        </w:tc>
      </w:tr>
      <w:tr w:rsidR="00CB10A2" w:rsidRPr="00EC5DF1" w14:paraId="30EBE578" w14:textId="77777777" w:rsidTr="001870B4">
        <w:tc>
          <w:tcPr>
            <w:tcW w:w="3431" w:type="dxa"/>
          </w:tcPr>
          <w:p w14:paraId="30EBE575" w14:textId="77777777" w:rsidR="00CB10A2" w:rsidRPr="000C6A71" w:rsidRDefault="00CB10A2" w:rsidP="00CB10A2">
            <w:pPr>
              <w:rPr>
                <w:rFonts w:cstheme="minorHAnsi"/>
              </w:rPr>
            </w:pPr>
            <w:r w:rsidRPr="000C6A71">
              <w:rPr>
                <w:rFonts w:cstheme="minorHAnsi"/>
              </w:rPr>
              <w:t>University of Dundee</w:t>
            </w:r>
          </w:p>
        </w:tc>
        <w:tc>
          <w:tcPr>
            <w:tcW w:w="3827" w:type="dxa"/>
          </w:tcPr>
          <w:p w14:paraId="30EBE576" w14:textId="25612E48" w:rsidR="00CB10A2" w:rsidRPr="000C6A71" w:rsidRDefault="00CB10A2" w:rsidP="00CB10A2">
            <w:pPr>
              <w:rPr>
                <w:rFonts w:cstheme="minorHAnsi"/>
              </w:rPr>
            </w:pPr>
            <w:r w:rsidRPr="000C6A71">
              <w:rPr>
                <w:rFonts w:cstheme="minorHAnsi"/>
              </w:rPr>
              <w:t>MRC Centre for Drug Safety Sciences</w:t>
            </w:r>
          </w:p>
        </w:tc>
        <w:tc>
          <w:tcPr>
            <w:tcW w:w="6582" w:type="dxa"/>
          </w:tcPr>
          <w:p w14:paraId="30EBE577" w14:textId="77777777" w:rsidR="00CB10A2" w:rsidRPr="000C6A71" w:rsidRDefault="00CB10A2" w:rsidP="00CB10A2">
            <w:pPr>
              <w:rPr>
                <w:rFonts w:cstheme="minorHAnsi"/>
              </w:rPr>
            </w:pPr>
            <w:r w:rsidRPr="000C6A71">
              <w:rPr>
                <w:rFonts w:cstheme="minorHAnsi"/>
              </w:rPr>
              <w:t xml:space="preserve">Development of a Mammalian Toxicity Reporter Model for Metastatic </w:t>
            </w:r>
            <w:proofErr w:type="spellStart"/>
            <w:r w:rsidRPr="000C6A71">
              <w:rPr>
                <w:rFonts w:cstheme="minorHAnsi"/>
              </w:rPr>
              <w:t>MelanomaTherapies</w:t>
            </w:r>
            <w:proofErr w:type="spellEnd"/>
          </w:p>
        </w:tc>
      </w:tr>
      <w:tr w:rsidR="00CB10A2" w:rsidRPr="00EC5DF1" w14:paraId="30EBE57C" w14:textId="77777777" w:rsidTr="001870B4">
        <w:tc>
          <w:tcPr>
            <w:tcW w:w="3431" w:type="dxa"/>
          </w:tcPr>
          <w:p w14:paraId="30EBE579" w14:textId="070AD99F" w:rsidR="00CB10A2" w:rsidRPr="000C6A71" w:rsidRDefault="00CB10A2" w:rsidP="00CB10A2">
            <w:pPr>
              <w:rPr>
                <w:rFonts w:cstheme="minorHAnsi"/>
              </w:rPr>
            </w:pPr>
            <w:r w:rsidRPr="000C6A71">
              <w:rPr>
                <w:rFonts w:cstheme="minorHAnsi"/>
              </w:rPr>
              <w:t>MRC Centre for Drug Safety Sciences</w:t>
            </w:r>
          </w:p>
        </w:tc>
        <w:tc>
          <w:tcPr>
            <w:tcW w:w="3827" w:type="dxa"/>
          </w:tcPr>
          <w:p w14:paraId="30EBE57A" w14:textId="77777777" w:rsidR="00CB10A2" w:rsidRPr="000C6A71" w:rsidRDefault="00CB10A2" w:rsidP="00CB10A2">
            <w:pPr>
              <w:rPr>
                <w:rFonts w:cstheme="minorHAnsi"/>
              </w:rPr>
            </w:pPr>
            <w:proofErr w:type="spellStart"/>
            <w:r w:rsidRPr="000C6A71">
              <w:rPr>
                <w:rFonts w:cstheme="minorHAnsi"/>
              </w:rPr>
              <w:t>iThera</w:t>
            </w:r>
            <w:proofErr w:type="spellEnd"/>
            <w:r w:rsidRPr="000C6A71">
              <w:rPr>
                <w:rFonts w:cstheme="minorHAnsi"/>
              </w:rPr>
              <w:t xml:space="preserve"> Medical / UCL</w:t>
            </w:r>
          </w:p>
        </w:tc>
        <w:tc>
          <w:tcPr>
            <w:tcW w:w="6582" w:type="dxa"/>
          </w:tcPr>
          <w:p w14:paraId="30EBE57B" w14:textId="77777777" w:rsidR="00CB10A2" w:rsidRPr="000C6A71" w:rsidRDefault="00CB10A2" w:rsidP="00CB10A2">
            <w:pPr>
              <w:rPr>
                <w:rFonts w:cstheme="minorHAnsi"/>
              </w:rPr>
            </w:pPr>
            <w:r w:rsidRPr="000C6A71">
              <w:rPr>
                <w:rFonts w:cstheme="minorHAnsi"/>
              </w:rPr>
              <w:t>Integrated imaging and circulating biomarkers for the assessment of drug-induced hepatotoxicity</w:t>
            </w:r>
          </w:p>
        </w:tc>
      </w:tr>
      <w:tr w:rsidR="00CB10A2" w:rsidRPr="00EC5DF1" w14:paraId="30EBE580" w14:textId="77777777" w:rsidTr="001870B4">
        <w:tc>
          <w:tcPr>
            <w:tcW w:w="3431" w:type="dxa"/>
            <w:shd w:val="clear" w:color="auto" w:fill="5F497A" w:themeFill="accent4" w:themeFillShade="BF"/>
          </w:tcPr>
          <w:p w14:paraId="30EBE57D" w14:textId="77777777" w:rsidR="00CB10A2" w:rsidRPr="00A474CE" w:rsidRDefault="00CB10A2" w:rsidP="00CB10A2">
            <w:pPr>
              <w:tabs>
                <w:tab w:val="center" w:pos="6979"/>
              </w:tabs>
              <w:rPr>
                <w:rFonts w:ascii="Arial" w:hAnsi="Arial" w:cs="Arial"/>
                <w:b/>
                <w:iCs/>
                <w:color w:val="FFFFFF" w:themeColor="background1"/>
              </w:rPr>
            </w:pPr>
            <w:r w:rsidRPr="00A474CE">
              <w:rPr>
                <w:rFonts w:ascii="Arial" w:hAnsi="Arial" w:cs="Arial"/>
                <w:b/>
                <w:iCs/>
                <w:color w:val="FFFFFF" w:themeColor="background1"/>
              </w:rPr>
              <w:t>2014</w:t>
            </w:r>
          </w:p>
        </w:tc>
        <w:tc>
          <w:tcPr>
            <w:tcW w:w="3827" w:type="dxa"/>
            <w:shd w:val="clear" w:color="auto" w:fill="5F497A" w:themeFill="accent4" w:themeFillShade="BF"/>
          </w:tcPr>
          <w:p w14:paraId="30EBE57E" w14:textId="77777777" w:rsidR="00CB10A2" w:rsidRPr="00A474CE" w:rsidRDefault="00CB10A2" w:rsidP="00CB10A2">
            <w:pPr>
              <w:tabs>
                <w:tab w:val="center" w:pos="6979"/>
              </w:tabs>
              <w:rPr>
                <w:rFonts w:ascii="Arial" w:hAnsi="Arial" w:cs="Arial"/>
                <w:b/>
                <w:iCs/>
                <w:color w:val="FFFFFF" w:themeColor="background1"/>
                <w:sz w:val="24"/>
                <w:szCs w:val="20"/>
              </w:rPr>
            </w:pPr>
          </w:p>
        </w:tc>
        <w:tc>
          <w:tcPr>
            <w:tcW w:w="6582" w:type="dxa"/>
            <w:shd w:val="clear" w:color="auto" w:fill="5F497A" w:themeFill="accent4" w:themeFillShade="BF"/>
          </w:tcPr>
          <w:p w14:paraId="30EBE57F" w14:textId="77777777" w:rsidR="00CB10A2" w:rsidRPr="00A474CE" w:rsidRDefault="00CB10A2" w:rsidP="00CB10A2">
            <w:pPr>
              <w:tabs>
                <w:tab w:val="center" w:pos="6979"/>
              </w:tabs>
              <w:rPr>
                <w:rFonts w:ascii="Arial" w:hAnsi="Arial" w:cs="Arial"/>
                <w:b/>
                <w:iCs/>
                <w:color w:val="FFFFFF" w:themeColor="background1"/>
                <w:sz w:val="24"/>
                <w:szCs w:val="20"/>
              </w:rPr>
            </w:pPr>
          </w:p>
        </w:tc>
      </w:tr>
      <w:tr w:rsidR="00CB10A2" w:rsidRPr="00EC5DF1" w14:paraId="30EBE584" w14:textId="77777777" w:rsidTr="001870B4">
        <w:tc>
          <w:tcPr>
            <w:tcW w:w="3431" w:type="dxa"/>
          </w:tcPr>
          <w:p w14:paraId="30EBE581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>Newcastle University</w:t>
            </w:r>
          </w:p>
        </w:tc>
        <w:tc>
          <w:tcPr>
            <w:tcW w:w="3827" w:type="dxa"/>
          </w:tcPr>
          <w:p w14:paraId="30EBE582" w14:textId="77777777" w:rsidR="00CB10A2" w:rsidRPr="000C6A71" w:rsidRDefault="00CB10A2" w:rsidP="00CB10A2">
            <w:pPr>
              <w:pStyle w:val="NoSpacing"/>
              <w:rPr>
                <w:rFonts w:eastAsia="Calibri" w:cstheme="minorHAnsi"/>
              </w:rPr>
            </w:pPr>
            <w:r w:rsidRPr="000C6A71">
              <w:rPr>
                <w:rFonts w:eastAsia="Calibri" w:cstheme="minorHAnsi"/>
              </w:rPr>
              <w:t>EFSA</w:t>
            </w:r>
          </w:p>
        </w:tc>
        <w:tc>
          <w:tcPr>
            <w:tcW w:w="6582" w:type="dxa"/>
          </w:tcPr>
          <w:p w14:paraId="30EBE583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eastAsia="Calibri" w:cstheme="minorHAnsi"/>
              </w:rPr>
              <w:t>The role of gut permeability and increased systematic inflammatory mediators on chemical (food and drug) toxicity.</w:t>
            </w:r>
          </w:p>
        </w:tc>
      </w:tr>
      <w:tr w:rsidR="00CB10A2" w:rsidRPr="00EC5DF1" w14:paraId="30EBE588" w14:textId="77777777" w:rsidTr="001870B4">
        <w:tc>
          <w:tcPr>
            <w:tcW w:w="3431" w:type="dxa"/>
          </w:tcPr>
          <w:p w14:paraId="30EBE585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>University of Manchester</w:t>
            </w:r>
          </w:p>
        </w:tc>
        <w:tc>
          <w:tcPr>
            <w:tcW w:w="3827" w:type="dxa"/>
          </w:tcPr>
          <w:p w14:paraId="30EBE586" w14:textId="77777777" w:rsidR="00CB10A2" w:rsidRPr="000C6A71" w:rsidRDefault="00CB10A2" w:rsidP="00CB10A2">
            <w:pPr>
              <w:pStyle w:val="NoSpacing"/>
              <w:rPr>
                <w:rFonts w:eastAsia="Calibri" w:cstheme="minorHAnsi"/>
              </w:rPr>
            </w:pPr>
            <w:r w:rsidRPr="000C6A71">
              <w:rPr>
                <w:rFonts w:eastAsia="Calibri" w:cstheme="minorHAnsi"/>
              </w:rPr>
              <w:t>University of Sheffield / NHS</w:t>
            </w:r>
          </w:p>
        </w:tc>
        <w:tc>
          <w:tcPr>
            <w:tcW w:w="6582" w:type="dxa"/>
          </w:tcPr>
          <w:p w14:paraId="30EBE587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eastAsia="Calibri" w:cstheme="minorHAnsi"/>
              </w:rPr>
              <w:t>Origins and biological significance of alkyl DNA damage in human sperm.</w:t>
            </w:r>
          </w:p>
        </w:tc>
      </w:tr>
      <w:tr w:rsidR="00CB10A2" w:rsidRPr="00EC5DF1" w14:paraId="30EBE58D" w14:textId="77777777" w:rsidTr="001870B4">
        <w:tc>
          <w:tcPr>
            <w:tcW w:w="3431" w:type="dxa"/>
          </w:tcPr>
          <w:p w14:paraId="30EBE589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>University of Liverpool</w:t>
            </w:r>
          </w:p>
          <w:p w14:paraId="30EBE58A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</w:p>
        </w:tc>
        <w:tc>
          <w:tcPr>
            <w:tcW w:w="3827" w:type="dxa"/>
          </w:tcPr>
          <w:p w14:paraId="30EBE58B" w14:textId="77777777" w:rsidR="00CB10A2" w:rsidRPr="000C6A71" w:rsidRDefault="00CB10A2" w:rsidP="00CB10A2">
            <w:pPr>
              <w:pStyle w:val="NoSpacing"/>
              <w:rPr>
                <w:rFonts w:eastAsia="Calibri" w:cstheme="minorHAnsi"/>
              </w:rPr>
            </w:pPr>
            <w:r w:rsidRPr="000C6A71">
              <w:rPr>
                <w:rFonts w:eastAsia="Calibri" w:cstheme="minorHAnsi"/>
              </w:rPr>
              <w:t>AstraZeneca</w:t>
            </w:r>
          </w:p>
        </w:tc>
        <w:tc>
          <w:tcPr>
            <w:tcW w:w="6582" w:type="dxa"/>
          </w:tcPr>
          <w:p w14:paraId="30EBE58C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eastAsia="Calibri" w:cstheme="minorHAnsi"/>
              </w:rPr>
              <w:t>Manipulation of the physiological and toxicological phenotype of human hepatocytes by targeting cellular differentiation and de-differentiation</w:t>
            </w:r>
          </w:p>
        </w:tc>
      </w:tr>
      <w:tr w:rsidR="00CB10A2" w:rsidRPr="00EC5DF1" w14:paraId="30EBE591" w14:textId="77777777" w:rsidTr="001870B4">
        <w:tc>
          <w:tcPr>
            <w:tcW w:w="3431" w:type="dxa"/>
          </w:tcPr>
          <w:p w14:paraId="30EBE58E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>Imperial College</w:t>
            </w:r>
          </w:p>
        </w:tc>
        <w:tc>
          <w:tcPr>
            <w:tcW w:w="3827" w:type="dxa"/>
          </w:tcPr>
          <w:p w14:paraId="30EBE58F" w14:textId="77777777" w:rsidR="00CB10A2" w:rsidRPr="000C6A71" w:rsidRDefault="00CB10A2" w:rsidP="00CB10A2">
            <w:pPr>
              <w:pStyle w:val="NoSpacing"/>
              <w:rPr>
                <w:rFonts w:eastAsia="Calibri" w:cstheme="minorHAnsi"/>
              </w:rPr>
            </w:pPr>
            <w:r w:rsidRPr="000C6A71">
              <w:rPr>
                <w:rFonts w:eastAsia="Calibri" w:cstheme="minorHAnsi"/>
              </w:rPr>
              <w:t>King’s College London</w:t>
            </w:r>
          </w:p>
        </w:tc>
        <w:tc>
          <w:tcPr>
            <w:tcW w:w="6582" w:type="dxa"/>
          </w:tcPr>
          <w:p w14:paraId="30EBE590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eastAsia="Calibri" w:cstheme="minorHAnsi"/>
              </w:rPr>
              <w:t>Metabolic phenotyping, cell death and inflammation; an integrative mechanistic approach for improved stratification of paracetamol-induced acute liver failure.</w:t>
            </w:r>
          </w:p>
        </w:tc>
      </w:tr>
      <w:tr w:rsidR="00CB10A2" w:rsidRPr="00EC5DF1" w14:paraId="30EBE595" w14:textId="77777777" w:rsidTr="001870B4">
        <w:tc>
          <w:tcPr>
            <w:tcW w:w="3431" w:type="dxa"/>
          </w:tcPr>
          <w:p w14:paraId="30EBE592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>Imperial College</w:t>
            </w:r>
          </w:p>
        </w:tc>
        <w:tc>
          <w:tcPr>
            <w:tcW w:w="3827" w:type="dxa"/>
          </w:tcPr>
          <w:p w14:paraId="30EBE593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>AstraZeneca</w:t>
            </w:r>
          </w:p>
        </w:tc>
        <w:tc>
          <w:tcPr>
            <w:tcW w:w="6582" w:type="dxa"/>
          </w:tcPr>
          <w:p w14:paraId="30EBE594" w14:textId="77777777" w:rsidR="00CB10A2" w:rsidRPr="000C6A71" w:rsidRDefault="00CB10A2" w:rsidP="00CB10A2">
            <w:pPr>
              <w:pStyle w:val="NoSpacing"/>
              <w:rPr>
                <w:rFonts w:eastAsia="Calibri" w:cstheme="minorHAnsi"/>
              </w:rPr>
            </w:pPr>
            <w:r w:rsidRPr="000C6A71">
              <w:rPr>
                <w:rFonts w:cstheme="minorHAnsi"/>
              </w:rPr>
              <w:t>Development of novel in vitro systems and quantitative structure-activity relationships for the prediction of adverse xenobiotic hydrolysis events.</w:t>
            </w:r>
          </w:p>
        </w:tc>
      </w:tr>
      <w:tr w:rsidR="00CB10A2" w:rsidRPr="00EC5DF1" w14:paraId="30EBE599" w14:textId="77777777" w:rsidTr="001870B4">
        <w:tc>
          <w:tcPr>
            <w:tcW w:w="3431" w:type="dxa"/>
            <w:shd w:val="clear" w:color="auto" w:fill="5F497A" w:themeFill="accent4" w:themeFillShade="BF"/>
          </w:tcPr>
          <w:p w14:paraId="30EBE596" w14:textId="77777777" w:rsidR="00CB10A2" w:rsidRPr="00B561F1" w:rsidRDefault="00CB10A2" w:rsidP="00CB10A2">
            <w:pPr>
              <w:tabs>
                <w:tab w:val="center" w:pos="6979"/>
              </w:tabs>
              <w:rPr>
                <w:rFonts w:ascii="Arial" w:hAnsi="Arial" w:cs="Arial"/>
                <w:b/>
                <w:iCs/>
                <w:color w:val="FFFFFF" w:themeColor="background1"/>
                <w:szCs w:val="20"/>
              </w:rPr>
            </w:pPr>
            <w:r w:rsidRPr="00B561F1">
              <w:rPr>
                <w:rFonts w:ascii="Arial" w:hAnsi="Arial" w:cs="Arial"/>
                <w:b/>
                <w:iCs/>
                <w:color w:val="FFFFFF" w:themeColor="background1"/>
                <w:szCs w:val="20"/>
              </w:rPr>
              <w:t>2013</w:t>
            </w:r>
          </w:p>
        </w:tc>
        <w:tc>
          <w:tcPr>
            <w:tcW w:w="3827" w:type="dxa"/>
            <w:shd w:val="clear" w:color="auto" w:fill="5F497A" w:themeFill="accent4" w:themeFillShade="BF"/>
          </w:tcPr>
          <w:p w14:paraId="30EBE597" w14:textId="77777777" w:rsidR="00CB10A2" w:rsidRPr="00B561F1" w:rsidRDefault="00CB10A2" w:rsidP="00CB10A2">
            <w:pPr>
              <w:tabs>
                <w:tab w:val="center" w:pos="6979"/>
              </w:tabs>
              <w:rPr>
                <w:rFonts w:ascii="Arial" w:hAnsi="Arial" w:cs="Arial"/>
                <w:b/>
                <w:iCs/>
                <w:color w:val="FFFFFF" w:themeColor="background1"/>
                <w:sz w:val="24"/>
                <w:szCs w:val="20"/>
              </w:rPr>
            </w:pPr>
          </w:p>
        </w:tc>
        <w:tc>
          <w:tcPr>
            <w:tcW w:w="6582" w:type="dxa"/>
            <w:shd w:val="clear" w:color="auto" w:fill="5F497A" w:themeFill="accent4" w:themeFillShade="BF"/>
          </w:tcPr>
          <w:p w14:paraId="30EBE598" w14:textId="77777777" w:rsidR="00CB10A2" w:rsidRPr="00B561F1" w:rsidRDefault="00CB10A2" w:rsidP="00CB10A2">
            <w:pPr>
              <w:tabs>
                <w:tab w:val="center" w:pos="6979"/>
              </w:tabs>
              <w:rPr>
                <w:rFonts w:ascii="Arial" w:hAnsi="Arial" w:cs="Arial"/>
                <w:b/>
                <w:iCs/>
                <w:color w:val="FFFFFF" w:themeColor="background1"/>
                <w:sz w:val="24"/>
                <w:szCs w:val="20"/>
              </w:rPr>
            </w:pPr>
          </w:p>
        </w:tc>
      </w:tr>
      <w:tr w:rsidR="00CB10A2" w:rsidRPr="00EC5DF1" w14:paraId="30EBE59D" w14:textId="77777777" w:rsidTr="001870B4">
        <w:tc>
          <w:tcPr>
            <w:tcW w:w="3431" w:type="dxa"/>
          </w:tcPr>
          <w:p w14:paraId="30EBE59A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lastRenderedPageBreak/>
              <w:t>University of Liverpool</w:t>
            </w:r>
          </w:p>
        </w:tc>
        <w:tc>
          <w:tcPr>
            <w:tcW w:w="3827" w:type="dxa"/>
          </w:tcPr>
          <w:p w14:paraId="30EBE59B" w14:textId="3AB2BBF1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>University of Edinburgh / Newcastle University / Novartis</w:t>
            </w:r>
          </w:p>
        </w:tc>
        <w:tc>
          <w:tcPr>
            <w:tcW w:w="6582" w:type="dxa"/>
          </w:tcPr>
          <w:p w14:paraId="30EBE59C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>An integrated assessment of miroRNA-122 and HMGB1 as mechanistic biomarkers of drug-induced liver injury.</w:t>
            </w:r>
          </w:p>
        </w:tc>
      </w:tr>
      <w:tr w:rsidR="00CB10A2" w:rsidRPr="00EC5DF1" w14:paraId="30EBE5A1" w14:textId="77777777" w:rsidTr="001870B4">
        <w:tc>
          <w:tcPr>
            <w:tcW w:w="3431" w:type="dxa"/>
          </w:tcPr>
          <w:p w14:paraId="30EBE59E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>University of Dundee</w:t>
            </w:r>
          </w:p>
        </w:tc>
        <w:tc>
          <w:tcPr>
            <w:tcW w:w="3827" w:type="dxa"/>
          </w:tcPr>
          <w:p w14:paraId="30EBE59F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>University of Dundee</w:t>
            </w:r>
          </w:p>
        </w:tc>
        <w:tc>
          <w:tcPr>
            <w:tcW w:w="6582" w:type="dxa"/>
          </w:tcPr>
          <w:p w14:paraId="30EBE5A0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>Influence of p53 pathway in determining efficacy or toxicity of treatment with novel polo-like kinase-1 (PLK1) targeted anti-cancer therapeutic agents.</w:t>
            </w:r>
          </w:p>
        </w:tc>
      </w:tr>
      <w:tr w:rsidR="00CB10A2" w:rsidRPr="00EC5DF1" w14:paraId="30EBE5A5" w14:textId="77777777" w:rsidTr="001870B4">
        <w:tc>
          <w:tcPr>
            <w:tcW w:w="3431" w:type="dxa"/>
          </w:tcPr>
          <w:p w14:paraId="30EBE5A2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>MRC Toxicology Unit</w:t>
            </w:r>
          </w:p>
        </w:tc>
        <w:tc>
          <w:tcPr>
            <w:tcW w:w="3827" w:type="dxa"/>
          </w:tcPr>
          <w:p w14:paraId="30EBE5A3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>Eli Lilly</w:t>
            </w:r>
          </w:p>
        </w:tc>
        <w:tc>
          <w:tcPr>
            <w:tcW w:w="6582" w:type="dxa"/>
          </w:tcPr>
          <w:p w14:paraId="30EBE5A4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>Development and analysis of mouse models to probe the function and on target toxicity of drugs that target G-protein coupled receptors.</w:t>
            </w:r>
          </w:p>
        </w:tc>
      </w:tr>
      <w:tr w:rsidR="00CB10A2" w:rsidRPr="00EC5DF1" w14:paraId="30EBE5AA" w14:textId="77777777" w:rsidTr="001870B4">
        <w:tc>
          <w:tcPr>
            <w:tcW w:w="3431" w:type="dxa"/>
          </w:tcPr>
          <w:p w14:paraId="30EBE5A6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>MRC Toxicology Unit</w:t>
            </w:r>
          </w:p>
        </w:tc>
        <w:tc>
          <w:tcPr>
            <w:tcW w:w="3827" w:type="dxa"/>
          </w:tcPr>
          <w:p w14:paraId="30EBE5A7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>GE Healthcare</w:t>
            </w:r>
          </w:p>
        </w:tc>
        <w:tc>
          <w:tcPr>
            <w:tcW w:w="6582" w:type="dxa"/>
          </w:tcPr>
          <w:p w14:paraId="30EBE5A8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>Developing novel biomarkers of cardiotoxicity</w:t>
            </w:r>
          </w:p>
          <w:p w14:paraId="30EBE5A9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</w:p>
        </w:tc>
      </w:tr>
      <w:tr w:rsidR="00CB10A2" w:rsidRPr="00EC5DF1" w14:paraId="30EBE5AE" w14:textId="77777777" w:rsidTr="001870B4">
        <w:tc>
          <w:tcPr>
            <w:tcW w:w="3431" w:type="dxa"/>
            <w:shd w:val="clear" w:color="auto" w:fill="5F497A" w:themeFill="accent4" w:themeFillShade="BF"/>
          </w:tcPr>
          <w:p w14:paraId="30EBE5AB" w14:textId="77777777" w:rsidR="00CB10A2" w:rsidRPr="00B561F1" w:rsidRDefault="00CB10A2" w:rsidP="00CB10A2">
            <w:pPr>
              <w:tabs>
                <w:tab w:val="center" w:pos="6979"/>
              </w:tabs>
              <w:rPr>
                <w:rFonts w:ascii="Arial" w:hAnsi="Arial" w:cs="Arial"/>
                <w:b/>
                <w:iCs/>
                <w:color w:val="FFFFFF" w:themeColor="background1"/>
              </w:rPr>
            </w:pPr>
            <w:r w:rsidRPr="00B561F1">
              <w:rPr>
                <w:rFonts w:ascii="Arial" w:hAnsi="Arial" w:cs="Arial"/>
                <w:b/>
                <w:iCs/>
                <w:color w:val="FFFFFF" w:themeColor="background1"/>
              </w:rPr>
              <w:t>2012</w:t>
            </w:r>
          </w:p>
        </w:tc>
        <w:tc>
          <w:tcPr>
            <w:tcW w:w="3827" w:type="dxa"/>
            <w:shd w:val="clear" w:color="auto" w:fill="5F497A" w:themeFill="accent4" w:themeFillShade="BF"/>
          </w:tcPr>
          <w:p w14:paraId="30EBE5AC" w14:textId="77777777" w:rsidR="00CB10A2" w:rsidRPr="00144FEA" w:rsidRDefault="00CB10A2" w:rsidP="00CB10A2">
            <w:pPr>
              <w:tabs>
                <w:tab w:val="center" w:pos="6979"/>
              </w:tabs>
              <w:rPr>
                <w:rFonts w:ascii="Arial" w:hAnsi="Arial" w:cs="Arial"/>
                <w:b/>
                <w:i/>
                <w:color w:val="FFFFFF" w:themeColor="background1"/>
                <w:sz w:val="24"/>
                <w:szCs w:val="20"/>
              </w:rPr>
            </w:pPr>
          </w:p>
        </w:tc>
        <w:tc>
          <w:tcPr>
            <w:tcW w:w="6582" w:type="dxa"/>
            <w:shd w:val="clear" w:color="auto" w:fill="5F497A" w:themeFill="accent4" w:themeFillShade="BF"/>
          </w:tcPr>
          <w:p w14:paraId="30EBE5AD" w14:textId="77777777" w:rsidR="00CB10A2" w:rsidRPr="00144FEA" w:rsidRDefault="00CB10A2" w:rsidP="00CB10A2">
            <w:pPr>
              <w:tabs>
                <w:tab w:val="center" w:pos="6979"/>
              </w:tabs>
              <w:rPr>
                <w:rFonts w:ascii="Arial" w:hAnsi="Arial" w:cs="Arial"/>
                <w:b/>
                <w:i/>
                <w:color w:val="FFFFFF" w:themeColor="background1"/>
                <w:sz w:val="24"/>
                <w:szCs w:val="20"/>
              </w:rPr>
            </w:pPr>
          </w:p>
        </w:tc>
      </w:tr>
      <w:tr w:rsidR="00CB10A2" w:rsidRPr="00EC5DF1" w14:paraId="30EBE5B3" w14:textId="77777777" w:rsidTr="001870B4">
        <w:tc>
          <w:tcPr>
            <w:tcW w:w="3431" w:type="dxa"/>
          </w:tcPr>
          <w:p w14:paraId="30EBE5AF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 xml:space="preserve">MRC Toxicology Unit </w:t>
            </w:r>
          </w:p>
        </w:tc>
        <w:tc>
          <w:tcPr>
            <w:tcW w:w="3827" w:type="dxa"/>
          </w:tcPr>
          <w:p w14:paraId="30EBE5B0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>Mission Therapeutics / University of Cambridge</w:t>
            </w:r>
          </w:p>
        </w:tc>
        <w:tc>
          <w:tcPr>
            <w:tcW w:w="6582" w:type="dxa"/>
          </w:tcPr>
          <w:p w14:paraId="30EBE5B1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 xml:space="preserve">Predicting cell toxicity: The role of protein synthesis in the DNA damage response </w:t>
            </w:r>
          </w:p>
          <w:p w14:paraId="30EBE5B2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</w:p>
        </w:tc>
      </w:tr>
      <w:tr w:rsidR="00CB10A2" w:rsidRPr="00EC5DF1" w14:paraId="30EBE5B7" w14:textId="77777777" w:rsidTr="001870B4">
        <w:tc>
          <w:tcPr>
            <w:tcW w:w="3431" w:type="dxa"/>
          </w:tcPr>
          <w:p w14:paraId="30EBE5B4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 xml:space="preserve">MRC Toxicology Unit </w:t>
            </w:r>
          </w:p>
        </w:tc>
        <w:tc>
          <w:tcPr>
            <w:tcW w:w="3827" w:type="dxa"/>
          </w:tcPr>
          <w:p w14:paraId="30EBE5B5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>Newcastle University / University of Aberdeen</w:t>
            </w:r>
          </w:p>
        </w:tc>
        <w:tc>
          <w:tcPr>
            <w:tcW w:w="6582" w:type="dxa"/>
          </w:tcPr>
          <w:p w14:paraId="30EBE5B6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 xml:space="preserve">Investigating the adverse effects of novel tumour-specific IAP antagonists. </w:t>
            </w:r>
          </w:p>
        </w:tc>
      </w:tr>
      <w:tr w:rsidR="00CB10A2" w:rsidRPr="00EC5DF1" w14:paraId="30EBE5BB" w14:textId="77777777" w:rsidTr="001870B4">
        <w:tc>
          <w:tcPr>
            <w:tcW w:w="3431" w:type="dxa"/>
          </w:tcPr>
          <w:p w14:paraId="30EBE5B8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 xml:space="preserve">MRC Toxicology Unit </w:t>
            </w:r>
          </w:p>
        </w:tc>
        <w:tc>
          <w:tcPr>
            <w:tcW w:w="3827" w:type="dxa"/>
          </w:tcPr>
          <w:p w14:paraId="30EBE5B9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>University of Dundee</w:t>
            </w:r>
          </w:p>
        </w:tc>
        <w:tc>
          <w:tcPr>
            <w:tcW w:w="6582" w:type="dxa"/>
          </w:tcPr>
          <w:p w14:paraId="30EBE5BA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 xml:space="preserve">Determining the role of microRNAs in the Nrf2 pathway following exposure to toxic agents and their effects on metabolism. </w:t>
            </w:r>
          </w:p>
        </w:tc>
      </w:tr>
      <w:tr w:rsidR="00CB10A2" w:rsidRPr="00EC5DF1" w14:paraId="30EBE5BF" w14:textId="77777777" w:rsidTr="001870B4">
        <w:tc>
          <w:tcPr>
            <w:tcW w:w="3431" w:type="dxa"/>
          </w:tcPr>
          <w:p w14:paraId="30EBE5BC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>Imperial College</w:t>
            </w:r>
          </w:p>
        </w:tc>
        <w:tc>
          <w:tcPr>
            <w:tcW w:w="3827" w:type="dxa"/>
          </w:tcPr>
          <w:p w14:paraId="30EBE5BD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>Health Protection Agency / GSK</w:t>
            </w:r>
          </w:p>
        </w:tc>
        <w:tc>
          <w:tcPr>
            <w:tcW w:w="6582" w:type="dxa"/>
          </w:tcPr>
          <w:p w14:paraId="30EBE5BE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>miRNA biomarkers of inflammatory lung pathophysiology arising from administered pharmaceuticals and pollution components.</w:t>
            </w:r>
          </w:p>
        </w:tc>
      </w:tr>
      <w:tr w:rsidR="00CB10A2" w:rsidRPr="00EC5DF1" w14:paraId="30EBE5C3" w14:textId="77777777" w:rsidTr="001870B4">
        <w:tc>
          <w:tcPr>
            <w:tcW w:w="3431" w:type="dxa"/>
            <w:shd w:val="clear" w:color="auto" w:fill="5F497A" w:themeFill="accent4" w:themeFillShade="BF"/>
          </w:tcPr>
          <w:p w14:paraId="30EBE5C0" w14:textId="77777777" w:rsidR="00CB10A2" w:rsidRPr="00B561F1" w:rsidRDefault="00CB10A2" w:rsidP="00CB10A2">
            <w:pPr>
              <w:tabs>
                <w:tab w:val="center" w:pos="6979"/>
              </w:tabs>
              <w:rPr>
                <w:rFonts w:ascii="Arial" w:hAnsi="Arial" w:cs="Arial"/>
                <w:b/>
                <w:iCs/>
                <w:color w:val="FFFFFF" w:themeColor="background1"/>
              </w:rPr>
            </w:pPr>
            <w:r w:rsidRPr="00B561F1">
              <w:rPr>
                <w:rFonts w:ascii="Arial" w:hAnsi="Arial" w:cs="Arial"/>
                <w:b/>
                <w:iCs/>
                <w:color w:val="FFFFFF" w:themeColor="background1"/>
              </w:rPr>
              <w:t>2011</w:t>
            </w:r>
          </w:p>
        </w:tc>
        <w:tc>
          <w:tcPr>
            <w:tcW w:w="3827" w:type="dxa"/>
            <w:shd w:val="clear" w:color="auto" w:fill="5F497A" w:themeFill="accent4" w:themeFillShade="BF"/>
          </w:tcPr>
          <w:p w14:paraId="30EBE5C1" w14:textId="77777777" w:rsidR="00CB10A2" w:rsidRPr="00144FEA" w:rsidRDefault="00CB10A2" w:rsidP="00CB10A2">
            <w:pPr>
              <w:tabs>
                <w:tab w:val="center" w:pos="6979"/>
              </w:tabs>
              <w:rPr>
                <w:rFonts w:ascii="Arial" w:hAnsi="Arial" w:cs="Arial"/>
                <w:b/>
                <w:i/>
                <w:color w:val="FFFFFF" w:themeColor="background1"/>
                <w:sz w:val="24"/>
                <w:szCs w:val="20"/>
              </w:rPr>
            </w:pPr>
          </w:p>
        </w:tc>
        <w:tc>
          <w:tcPr>
            <w:tcW w:w="6582" w:type="dxa"/>
            <w:shd w:val="clear" w:color="auto" w:fill="5F497A" w:themeFill="accent4" w:themeFillShade="BF"/>
          </w:tcPr>
          <w:p w14:paraId="30EBE5C2" w14:textId="77777777" w:rsidR="00CB10A2" w:rsidRPr="00144FEA" w:rsidRDefault="00CB10A2" w:rsidP="00CB10A2">
            <w:pPr>
              <w:tabs>
                <w:tab w:val="center" w:pos="6979"/>
              </w:tabs>
              <w:rPr>
                <w:rFonts w:ascii="Arial" w:hAnsi="Arial" w:cs="Arial"/>
                <w:b/>
                <w:i/>
                <w:color w:val="FFFFFF" w:themeColor="background1"/>
                <w:sz w:val="24"/>
                <w:szCs w:val="20"/>
              </w:rPr>
            </w:pPr>
          </w:p>
        </w:tc>
      </w:tr>
      <w:tr w:rsidR="00CB10A2" w:rsidRPr="00EC5DF1" w14:paraId="30EBE5C7" w14:textId="77777777" w:rsidTr="001870B4">
        <w:tc>
          <w:tcPr>
            <w:tcW w:w="3431" w:type="dxa"/>
          </w:tcPr>
          <w:p w14:paraId="30EBE5C4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 xml:space="preserve">University of Bristol </w:t>
            </w:r>
          </w:p>
        </w:tc>
        <w:tc>
          <w:tcPr>
            <w:tcW w:w="3827" w:type="dxa"/>
          </w:tcPr>
          <w:p w14:paraId="30EBE5C5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>Many</w:t>
            </w:r>
          </w:p>
        </w:tc>
        <w:tc>
          <w:tcPr>
            <w:tcW w:w="6582" w:type="dxa"/>
          </w:tcPr>
          <w:p w14:paraId="30EBE5C6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 xml:space="preserve">Dissecting Mechanisms of Nanoparticle-mediated Foetal Toxicity </w:t>
            </w:r>
          </w:p>
        </w:tc>
      </w:tr>
      <w:tr w:rsidR="00CB10A2" w:rsidRPr="00EC5DF1" w14:paraId="30EBE5CB" w14:textId="77777777" w:rsidTr="001870B4">
        <w:tc>
          <w:tcPr>
            <w:tcW w:w="3431" w:type="dxa"/>
          </w:tcPr>
          <w:p w14:paraId="30EBE5C8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 xml:space="preserve">University of Liverpool </w:t>
            </w:r>
          </w:p>
        </w:tc>
        <w:tc>
          <w:tcPr>
            <w:tcW w:w="3827" w:type="dxa"/>
          </w:tcPr>
          <w:p w14:paraId="30EBE5C9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>AstraZeneca</w:t>
            </w:r>
          </w:p>
        </w:tc>
        <w:tc>
          <w:tcPr>
            <w:tcW w:w="6582" w:type="dxa"/>
          </w:tcPr>
          <w:p w14:paraId="30EBE5CA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 xml:space="preserve">Understanding the role of </w:t>
            </w:r>
            <w:proofErr w:type="gramStart"/>
            <w:r w:rsidRPr="000C6A71">
              <w:rPr>
                <w:rFonts w:cstheme="minorHAnsi"/>
              </w:rPr>
              <w:t>micro RNA</w:t>
            </w:r>
            <w:proofErr w:type="gramEnd"/>
            <w:r w:rsidRPr="000C6A71">
              <w:rPr>
                <w:rFonts w:cstheme="minorHAnsi"/>
              </w:rPr>
              <w:t xml:space="preserve"> in drug-induced cardiovascular toxicity </w:t>
            </w:r>
          </w:p>
        </w:tc>
      </w:tr>
      <w:tr w:rsidR="00CB10A2" w:rsidRPr="00EC5DF1" w14:paraId="30EBE5CF" w14:textId="77777777" w:rsidTr="001870B4">
        <w:tc>
          <w:tcPr>
            <w:tcW w:w="3431" w:type="dxa"/>
          </w:tcPr>
          <w:p w14:paraId="30EBE5CC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 xml:space="preserve">University of Dundee </w:t>
            </w:r>
          </w:p>
        </w:tc>
        <w:tc>
          <w:tcPr>
            <w:tcW w:w="3827" w:type="dxa"/>
          </w:tcPr>
          <w:p w14:paraId="30EBE5CD" w14:textId="74E75B5E" w:rsidR="00CB10A2" w:rsidRPr="000C6A71" w:rsidRDefault="00CB10A2" w:rsidP="00CB10A2">
            <w:pPr>
              <w:pStyle w:val="NoSpacing"/>
              <w:rPr>
                <w:rFonts w:cstheme="minorHAnsi"/>
              </w:rPr>
            </w:pPr>
          </w:p>
        </w:tc>
        <w:tc>
          <w:tcPr>
            <w:tcW w:w="6582" w:type="dxa"/>
          </w:tcPr>
          <w:p w14:paraId="30EBE5CE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 xml:space="preserve">Mechanism of inhibition of inflammation by the antioxidant transcription factor Nrf2 </w:t>
            </w:r>
          </w:p>
        </w:tc>
      </w:tr>
      <w:tr w:rsidR="00CB10A2" w:rsidRPr="00EC5DF1" w14:paraId="30EBE5D3" w14:textId="77777777" w:rsidTr="001870B4">
        <w:tc>
          <w:tcPr>
            <w:tcW w:w="3431" w:type="dxa"/>
            <w:shd w:val="clear" w:color="auto" w:fill="5F497A" w:themeFill="accent4" w:themeFillShade="BF"/>
          </w:tcPr>
          <w:p w14:paraId="30EBE5D0" w14:textId="77777777" w:rsidR="00CB10A2" w:rsidRPr="00B561F1" w:rsidRDefault="00CB10A2" w:rsidP="00CB10A2">
            <w:pPr>
              <w:tabs>
                <w:tab w:val="center" w:pos="6979"/>
              </w:tabs>
              <w:rPr>
                <w:rFonts w:ascii="Arial" w:hAnsi="Arial" w:cs="Arial"/>
                <w:b/>
                <w:iCs/>
                <w:color w:val="FFFFFF" w:themeColor="background1"/>
              </w:rPr>
            </w:pPr>
            <w:r w:rsidRPr="00B561F1">
              <w:rPr>
                <w:rFonts w:ascii="Arial" w:hAnsi="Arial" w:cs="Arial"/>
                <w:b/>
                <w:iCs/>
                <w:color w:val="FFFFFF" w:themeColor="background1"/>
              </w:rPr>
              <w:t>2010</w:t>
            </w:r>
          </w:p>
        </w:tc>
        <w:tc>
          <w:tcPr>
            <w:tcW w:w="3827" w:type="dxa"/>
            <w:shd w:val="clear" w:color="auto" w:fill="5F497A" w:themeFill="accent4" w:themeFillShade="BF"/>
          </w:tcPr>
          <w:p w14:paraId="30EBE5D1" w14:textId="77777777" w:rsidR="00CB10A2" w:rsidRPr="00144FEA" w:rsidRDefault="00CB10A2" w:rsidP="00CB10A2">
            <w:pPr>
              <w:tabs>
                <w:tab w:val="center" w:pos="6979"/>
              </w:tabs>
              <w:rPr>
                <w:rFonts w:ascii="Arial" w:hAnsi="Arial" w:cs="Arial"/>
                <w:b/>
                <w:i/>
                <w:color w:val="FFFFFF" w:themeColor="background1"/>
                <w:sz w:val="24"/>
                <w:szCs w:val="20"/>
              </w:rPr>
            </w:pPr>
          </w:p>
        </w:tc>
        <w:tc>
          <w:tcPr>
            <w:tcW w:w="6582" w:type="dxa"/>
            <w:shd w:val="clear" w:color="auto" w:fill="5F497A" w:themeFill="accent4" w:themeFillShade="BF"/>
          </w:tcPr>
          <w:p w14:paraId="30EBE5D2" w14:textId="77777777" w:rsidR="00CB10A2" w:rsidRPr="00144FEA" w:rsidRDefault="00CB10A2" w:rsidP="00CB10A2">
            <w:pPr>
              <w:tabs>
                <w:tab w:val="center" w:pos="6979"/>
              </w:tabs>
              <w:rPr>
                <w:rFonts w:ascii="Arial" w:hAnsi="Arial" w:cs="Arial"/>
                <w:b/>
                <w:i/>
                <w:color w:val="FFFFFF" w:themeColor="background1"/>
                <w:sz w:val="24"/>
                <w:szCs w:val="20"/>
              </w:rPr>
            </w:pPr>
          </w:p>
        </w:tc>
      </w:tr>
      <w:tr w:rsidR="00CB10A2" w:rsidRPr="00EC5DF1" w14:paraId="30EBE5D7" w14:textId="77777777" w:rsidTr="001870B4">
        <w:tc>
          <w:tcPr>
            <w:tcW w:w="3431" w:type="dxa"/>
          </w:tcPr>
          <w:p w14:paraId="30EBE5D4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>Imperial College</w:t>
            </w:r>
          </w:p>
        </w:tc>
        <w:tc>
          <w:tcPr>
            <w:tcW w:w="3827" w:type="dxa"/>
          </w:tcPr>
          <w:p w14:paraId="30EBE5D5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>CREAL</w:t>
            </w:r>
          </w:p>
        </w:tc>
        <w:tc>
          <w:tcPr>
            <w:tcW w:w="6582" w:type="dxa"/>
          </w:tcPr>
          <w:p w14:paraId="30EBE5D6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 xml:space="preserve">Metabonomic and epidemiological analyses of disinfection by-products in public water and risk of adverse birth outcomes </w:t>
            </w:r>
          </w:p>
        </w:tc>
      </w:tr>
      <w:tr w:rsidR="00CB10A2" w:rsidRPr="00EC5DF1" w14:paraId="30EBE5DC" w14:textId="77777777" w:rsidTr="001870B4">
        <w:tc>
          <w:tcPr>
            <w:tcW w:w="3431" w:type="dxa"/>
          </w:tcPr>
          <w:p w14:paraId="30EBE5D8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 xml:space="preserve">University of Liverpool </w:t>
            </w:r>
          </w:p>
        </w:tc>
        <w:tc>
          <w:tcPr>
            <w:tcW w:w="3827" w:type="dxa"/>
          </w:tcPr>
          <w:p w14:paraId="30EBE5D9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>NHS Leeds</w:t>
            </w:r>
          </w:p>
        </w:tc>
        <w:tc>
          <w:tcPr>
            <w:tcW w:w="6582" w:type="dxa"/>
          </w:tcPr>
          <w:p w14:paraId="30EBE5DA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 xml:space="preserve">An investigation to define piperacillin and </w:t>
            </w:r>
            <w:proofErr w:type="spellStart"/>
            <w:r w:rsidRPr="000C6A71">
              <w:rPr>
                <w:rFonts w:cstheme="minorHAnsi"/>
              </w:rPr>
              <w:t>ceflazidime</w:t>
            </w:r>
            <w:proofErr w:type="spellEnd"/>
            <w:r w:rsidRPr="000C6A71">
              <w:rPr>
                <w:rFonts w:cstheme="minorHAnsi"/>
              </w:rPr>
              <w:t xml:space="preserve"> antigenicity and </w:t>
            </w:r>
          </w:p>
          <w:p w14:paraId="30EBE5DB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 xml:space="preserve">immunogenicity in patients with cystic fibrosis </w:t>
            </w:r>
          </w:p>
        </w:tc>
      </w:tr>
      <w:tr w:rsidR="00CB10A2" w:rsidRPr="00EC5DF1" w14:paraId="30EBE5E0" w14:textId="77777777" w:rsidTr="001870B4">
        <w:tc>
          <w:tcPr>
            <w:tcW w:w="3431" w:type="dxa"/>
          </w:tcPr>
          <w:p w14:paraId="30EBE5DD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lastRenderedPageBreak/>
              <w:t xml:space="preserve">University of Liverpool </w:t>
            </w:r>
          </w:p>
        </w:tc>
        <w:tc>
          <w:tcPr>
            <w:tcW w:w="3827" w:type="dxa"/>
          </w:tcPr>
          <w:p w14:paraId="30EBE5DE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>MRC Toxicology Unit</w:t>
            </w:r>
          </w:p>
        </w:tc>
        <w:tc>
          <w:tcPr>
            <w:tcW w:w="6582" w:type="dxa"/>
          </w:tcPr>
          <w:p w14:paraId="30EBE5DF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 xml:space="preserve">Defining the chemical and molecular basis of toxicity induced by the endoperoxide class of antimalarials </w:t>
            </w:r>
          </w:p>
        </w:tc>
      </w:tr>
      <w:tr w:rsidR="00CB10A2" w:rsidRPr="00EC5DF1" w14:paraId="30EBE5E5" w14:textId="77777777" w:rsidTr="001870B4">
        <w:tc>
          <w:tcPr>
            <w:tcW w:w="3431" w:type="dxa"/>
          </w:tcPr>
          <w:p w14:paraId="30EBE5E1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 xml:space="preserve">University of Liverpool </w:t>
            </w:r>
          </w:p>
        </w:tc>
        <w:tc>
          <w:tcPr>
            <w:tcW w:w="3827" w:type="dxa"/>
          </w:tcPr>
          <w:p w14:paraId="30EBE5E2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>Imperial College</w:t>
            </w:r>
          </w:p>
        </w:tc>
        <w:tc>
          <w:tcPr>
            <w:tcW w:w="6582" w:type="dxa"/>
          </w:tcPr>
          <w:p w14:paraId="30EBE5E3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 xml:space="preserve">Mechanisms of Aminoglycoside-induced nephrotoxicity – integrated molecular, proteomic, metabonomic and histological translational </w:t>
            </w:r>
          </w:p>
          <w:p w14:paraId="30EBE5E4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>biomarkers</w:t>
            </w:r>
          </w:p>
        </w:tc>
      </w:tr>
      <w:tr w:rsidR="00CB10A2" w:rsidRPr="00EC5DF1" w14:paraId="30EBE5E9" w14:textId="77777777" w:rsidTr="001870B4">
        <w:tc>
          <w:tcPr>
            <w:tcW w:w="3431" w:type="dxa"/>
          </w:tcPr>
          <w:p w14:paraId="30EBE5E6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>University of Cambridge</w:t>
            </w:r>
          </w:p>
        </w:tc>
        <w:tc>
          <w:tcPr>
            <w:tcW w:w="3827" w:type="dxa"/>
          </w:tcPr>
          <w:p w14:paraId="30EBE5E7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>GSK</w:t>
            </w:r>
          </w:p>
        </w:tc>
        <w:tc>
          <w:tcPr>
            <w:tcW w:w="6582" w:type="dxa"/>
          </w:tcPr>
          <w:p w14:paraId="30EBE5E8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 xml:space="preserve">A metabolomics investigation of drug-induced </w:t>
            </w:r>
            <w:proofErr w:type="spellStart"/>
            <w:r w:rsidRPr="000C6A71">
              <w:rPr>
                <w:rFonts w:cstheme="minorHAnsi"/>
              </w:rPr>
              <w:t>hpatic</w:t>
            </w:r>
            <w:proofErr w:type="spellEnd"/>
            <w:r w:rsidRPr="000C6A71">
              <w:rPr>
                <w:rFonts w:cstheme="minorHAnsi"/>
              </w:rPr>
              <w:t xml:space="preserve"> </w:t>
            </w:r>
            <w:proofErr w:type="spellStart"/>
            <w:r w:rsidRPr="000C6A71">
              <w:rPr>
                <w:rFonts w:cstheme="minorHAnsi"/>
              </w:rPr>
              <w:t>phospholipidosis</w:t>
            </w:r>
            <w:proofErr w:type="spellEnd"/>
          </w:p>
        </w:tc>
      </w:tr>
      <w:tr w:rsidR="00CB10A2" w:rsidRPr="00EC5DF1" w14:paraId="30EBE5ED" w14:textId="77777777" w:rsidTr="001870B4">
        <w:tc>
          <w:tcPr>
            <w:tcW w:w="3431" w:type="dxa"/>
            <w:shd w:val="clear" w:color="auto" w:fill="5F497A" w:themeFill="accent4" w:themeFillShade="BF"/>
          </w:tcPr>
          <w:p w14:paraId="30EBE5EA" w14:textId="77777777" w:rsidR="00CB10A2" w:rsidRPr="00B561F1" w:rsidRDefault="00CB10A2" w:rsidP="00CB10A2">
            <w:pPr>
              <w:tabs>
                <w:tab w:val="center" w:pos="6979"/>
              </w:tabs>
              <w:rPr>
                <w:rFonts w:ascii="Arial" w:hAnsi="Arial" w:cs="Arial"/>
                <w:b/>
                <w:iCs/>
                <w:color w:val="FFFFFF" w:themeColor="background1"/>
              </w:rPr>
            </w:pPr>
            <w:r w:rsidRPr="00B561F1">
              <w:rPr>
                <w:rFonts w:ascii="Arial" w:hAnsi="Arial" w:cs="Arial"/>
                <w:b/>
                <w:iCs/>
                <w:color w:val="FFFFFF" w:themeColor="background1"/>
              </w:rPr>
              <w:t>2009</w:t>
            </w:r>
          </w:p>
        </w:tc>
        <w:tc>
          <w:tcPr>
            <w:tcW w:w="3827" w:type="dxa"/>
            <w:shd w:val="clear" w:color="auto" w:fill="5F497A" w:themeFill="accent4" w:themeFillShade="BF"/>
          </w:tcPr>
          <w:p w14:paraId="30EBE5EB" w14:textId="77777777" w:rsidR="00CB10A2" w:rsidRPr="00144FEA" w:rsidRDefault="00CB10A2" w:rsidP="00CB10A2">
            <w:pPr>
              <w:tabs>
                <w:tab w:val="center" w:pos="6979"/>
              </w:tabs>
              <w:rPr>
                <w:rFonts w:ascii="Arial" w:hAnsi="Arial" w:cs="Arial"/>
                <w:b/>
                <w:i/>
                <w:color w:val="FFFFFF" w:themeColor="background1"/>
                <w:sz w:val="24"/>
                <w:szCs w:val="20"/>
              </w:rPr>
            </w:pPr>
          </w:p>
        </w:tc>
        <w:tc>
          <w:tcPr>
            <w:tcW w:w="6582" w:type="dxa"/>
            <w:shd w:val="clear" w:color="auto" w:fill="5F497A" w:themeFill="accent4" w:themeFillShade="BF"/>
          </w:tcPr>
          <w:p w14:paraId="30EBE5EC" w14:textId="77777777" w:rsidR="00CB10A2" w:rsidRPr="00144FEA" w:rsidRDefault="00CB10A2" w:rsidP="00CB10A2">
            <w:pPr>
              <w:tabs>
                <w:tab w:val="center" w:pos="6979"/>
              </w:tabs>
              <w:rPr>
                <w:rFonts w:ascii="Arial" w:hAnsi="Arial" w:cs="Arial"/>
                <w:b/>
                <w:i/>
                <w:color w:val="FFFFFF" w:themeColor="background1"/>
                <w:sz w:val="24"/>
                <w:szCs w:val="20"/>
              </w:rPr>
            </w:pPr>
          </w:p>
        </w:tc>
      </w:tr>
      <w:tr w:rsidR="00CB10A2" w:rsidRPr="00EC5DF1" w14:paraId="30EBE5F1" w14:textId="77777777" w:rsidTr="001870B4">
        <w:tc>
          <w:tcPr>
            <w:tcW w:w="3431" w:type="dxa"/>
          </w:tcPr>
          <w:p w14:paraId="30EBE5EE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 xml:space="preserve">University of Southampton </w:t>
            </w:r>
          </w:p>
        </w:tc>
        <w:tc>
          <w:tcPr>
            <w:tcW w:w="3827" w:type="dxa"/>
          </w:tcPr>
          <w:p w14:paraId="30EBE5EF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>University of Birmingham</w:t>
            </w:r>
          </w:p>
        </w:tc>
        <w:tc>
          <w:tcPr>
            <w:tcW w:w="6582" w:type="dxa"/>
          </w:tcPr>
          <w:p w14:paraId="30EBE5F0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 xml:space="preserve">Nanotoxicology: particle and nanoparticles interactions with </w:t>
            </w:r>
            <w:proofErr w:type="spellStart"/>
            <w:r w:rsidRPr="000C6A71">
              <w:rPr>
                <w:rFonts w:cstheme="minorHAnsi"/>
              </w:rPr>
              <w:t>opsonins</w:t>
            </w:r>
            <w:proofErr w:type="spellEnd"/>
            <w:r w:rsidRPr="000C6A71">
              <w:rPr>
                <w:rFonts w:cstheme="minorHAnsi"/>
              </w:rPr>
              <w:t xml:space="preserve"> </w:t>
            </w:r>
          </w:p>
        </w:tc>
      </w:tr>
      <w:tr w:rsidR="00CB10A2" w:rsidRPr="00EC5DF1" w14:paraId="30EBE5F5" w14:textId="77777777" w:rsidTr="001870B4">
        <w:tc>
          <w:tcPr>
            <w:tcW w:w="3431" w:type="dxa"/>
          </w:tcPr>
          <w:p w14:paraId="30EBE5F2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 xml:space="preserve">Imperial College </w:t>
            </w:r>
          </w:p>
        </w:tc>
        <w:tc>
          <w:tcPr>
            <w:tcW w:w="3827" w:type="dxa"/>
          </w:tcPr>
          <w:p w14:paraId="30EBE5F3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>COMET</w:t>
            </w:r>
          </w:p>
        </w:tc>
        <w:tc>
          <w:tcPr>
            <w:tcW w:w="6582" w:type="dxa"/>
          </w:tcPr>
          <w:p w14:paraId="30EBE5F4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 xml:space="preserve">In vivo comparative metabolic modelling of interspecies variation in </w:t>
            </w:r>
            <w:proofErr w:type="spellStart"/>
            <w:r w:rsidRPr="000C6A71">
              <w:rPr>
                <w:rFonts w:cstheme="minorHAnsi"/>
              </w:rPr>
              <w:t>hepatocytoxicity</w:t>
            </w:r>
            <w:proofErr w:type="spellEnd"/>
            <w:r w:rsidRPr="000C6A71">
              <w:rPr>
                <w:rFonts w:cstheme="minorHAnsi"/>
              </w:rPr>
              <w:t xml:space="preserve"> </w:t>
            </w:r>
          </w:p>
        </w:tc>
      </w:tr>
      <w:tr w:rsidR="00CB10A2" w:rsidRPr="00EC5DF1" w14:paraId="30EBE5F9" w14:textId="77777777" w:rsidTr="001870B4">
        <w:tc>
          <w:tcPr>
            <w:tcW w:w="3431" w:type="dxa"/>
          </w:tcPr>
          <w:p w14:paraId="30EBE5F6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 xml:space="preserve">University of Southampton </w:t>
            </w:r>
          </w:p>
        </w:tc>
        <w:tc>
          <w:tcPr>
            <w:tcW w:w="3827" w:type="dxa"/>
          </w:tcPr>
          <w:p w14:paraId="30EBE5F7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>National Oceanography Centre</w:t>
            </w:r>
          </w:p>
        </w:tc>
        <w:tc>
          <w:tcPr>
            <w:tcW w:w="6582" w:type="dxa"/>
          </w:tcPr>
          <w:p w14:paraId="30EBE5F8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 xml:space="preserve">Investigation of the potential health effects of transition metals in particulate air pollution </w:t>
            </w:r>
          </w:p>
        </w:tc>
      </w:tr>
      <w:tr w:rsidR="00CB10A2" w:rsidRPr="00EC5DF1" w14:paraId="30EBE5FD" w14:textId="77777777" w:rsidTr="001870B4">
        <w:tc>
          <w:tcPr>
            <w:tcW w:w="3431" w:type="dxa"/>
          </w:tcPr>
          <w:p w14:paraId="30EBE5FA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 xml:space="preserve">University of Cambridge </w:t>
            </w:r>
          </w:p>
        </w:tc>
        <w:tc>
          <w:tcPr>
            <w:tcW w:w="3827" w:type="dxa"/>
          </w:tcPr>
          <w:p w14:paraId="30EBE5FB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>Syngenta</w:t>
            </w:r>
          </w:p>
        </w:tc>
        <w:tc>
          <w:tcPr>
            <w:tcW w:w="6582" w:type="dxa"/>
          </w:tcPr>
          <w:p w14:paraId="30EBE5FC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 xml:space="preserve">A functional genomic approach to understanding lipid biosynthesis and organelle proliferation in the liver as an early indicator of the effects of non-genotoxic carcinogens </w:t>
            </w:r>
          </w:p>
        </w:tc>
      </w:tr>
      <w:tr w:rsidR="00CB10A2" w:rsidRPr="00EC5DF1" w14:paraId="30EBE601" w14:textId="77777777" w:rsidTr="001870B4">
        <w:tc>
          <w:tcPr>
            <w:tcW w:w="3431" w:type="dxa"/>
          </w:tcPr>
          <w:p w14:paraId="30EBE5FE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 xml:space="preserve">University of Aberdeen </w:t>
            </w:r>
          </w:p>
        </w:tc>
        <w:tc>
          <w:tcPr>
            <w:tcW w:w="3827" w:type="dxa"/>
          </w:tcPr>
          <w:p w14:paraId="30EBE5FF" w14:textId="6AA91025" w:rsidR="00CB10A2" w:rsidRPr="000C6A71" w:rsidRDefault="00CB10A2" w:rsidP="00CB10A2">
            <w:pPr>
              <w:pStyle w:val="NoSpacing"/>
              <w:rPr>
                <w:rFonts w:cstheme="minorHAnsi"/>
              </w:rPr>
            </w:pPr>
          </w:p>
        </w:tc>
        <w:tc>
          <w:tcPr>
            <w:tcW w:w="6582" w:type="dxa"/>
          </w:tcPr>
          <w:p w14:paraId="30EBE600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 xml:space="preserve">Regulation of hepatic drug transporters: species differences and effect of cholestasis </w:t>
            </w:r>
          </w:p>
        </w:tc>
      </w:tr>
      <w:tr w:rsidR="00CB10A2" w:rsidRPr="00EC5DF1" w14:paraId="30EBE605" w14:textId="77777777" w:rsidTr="001870B4">
        <w:tc>
          <w:tcPr>
            <w:tcW w:w="3431" w:type="dxa"/>
          </w:tcPr>
          <w:p w14:paraId="30EBE602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 xml:space="preserve">University of Liverpool </w:t>
            </w:r>
          </w:p>
        </w:tc>
        <w:tc>
          <w:tcPr>
            <w:tcW w:w="3827" w:type="dxa"/>
          </w:tcPr>
          <w:p w14:paraId="30EBE603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>Pfizer</w:t>
            </w:r>
          </w:p>
        </w:tc>
        <w:tc>
          <w:tcPr>
            <w:tcW w:w="6582" w:type="dxa"/>
          </w:tcPr>
          <w:p w14:paraId="30EBE604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 xml:space="preserve">Structure-metabolism analysis of the disposition and immunogenicity of PEGylated proteins </w:t>
            </w:r>
          </w:p>
        </w:tc>
      </w:tr>
      <w:tr w:rsidR="00CB10A2" w:rsidRPr="00EC5DF1" w14:paraId="30EBE609" w14:textId="77777777" w:rsidTr="001870B4">
        <w:tc>
          <w:tcPr>
            <w:tcW w:w="3431" w:type="dxa"/>
          </w:tcPr>
          <w:p w14:paraId="30EBE606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 xml:space="preserve">University of Liverpool </w:t>
            </w:r>
          </w:p>
        </w:tc>
        <w:tc>
          <w:tcPr>
            <w:tcW w:w="3827" w:type="dxa"/>
          </w:tcPr>
          <w:p w14:paraId="30EBE607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>University of Liverpool</w:t>
            </w:r>
          </w:p>
        </w:tc>
        <w:tc>
          <w:tcPr>
            <w:tcW w:w="6582" w:type="dxa"/>
          </w:tcPr>
          <w:p w14:paraId="30EBE608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 xml:space="preserve">Integrated assessment of serum biomarkers of drug bioactivation, lipid peroxidation, apoptosis and necrosis in animal models of hepatic and renal stress. </w:t>
            </w:r>
          </w:p>
        </w:tc>
      </w:tr>
      <w:tr w:rsidR="00CB10A2" w:rsidRPr="00EC5DF1" w14:paraId="30EBE60D" w14:textId="77777777" w:rsidTr="001870B4">
        <w:tc>
          <w:tcPr>
            <w:tcW w:w="3431" w:type="dxa"/>
          </w:tcPr>
          <w:p w14:paraId="30EBE60A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 xml:space="preserve">Newcastle University </w:t>
            </w:r>
          </w:p>
        </w:tc>
        <w:tc>
          <w:tcPr>
            <w:tcW w:w="3827" w:type="dxa"/>
          </w:tcPr>
          <w:p w14:paraId="30EBE60B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>Wyeth</w:t>
            </w:r>
          </w:p>
        </w:tc>
        <w:tc>
          <w:tcPr>
            <w:tcW w:w="6582" w:type="dxa"/>
          </w:tcPr>
          <w:p w14:paraId="30EBE60C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 xml:space="preserve">Myofibroblasts and their regulation of hepatic stem/progenitor cell function after injury </w:t>
            </w:r>
          </w:p>
        </w:tc>
      </w:tr>
      <w:tr w:rsidR="00CB10A2" w:rsidRPr="00EC5DF1" w14:paraId="30EBE611" w14:textId="77777777" w:rsidTr="001870B4">
        <w:tc>
          <w:tcPr>
            <w:tcW w:w="3431" w:type="dxa"/>
            <w:shd w:val="clear" w:color="auto" w:fill="5F497A" w:themeFill="accent4" w:themeFillShade="BF"/>
          </w:tcPr>
          <w:p w14:paraId="30EBE60E" w14:textId="77777777" w:rsidR="00CB10A2" w:rsidRPr="00B561F1" w:rsidRDefault="00CB10A2" w:rsidP="00CB10A2">
            <w:pPr>
              <w:tabs>
                <w:tab w:val="center" w:pos="6979"/>
              </w:tabs>
              <w:rPr>
                <w:rFonts w:ascii="Arial" w:hAnsi="Arial" w:cs="Arial"/>
                <w:b/>
                <w:iCs/>
                <w:color w:val="FFFFFF" w:themeColor="background1"/>
              </w:rPr>
            </w:pPr>
            <w:r w:rsidRPr="00B561F1">
              <w:rPr>
                <w:rFonts w:ascii="Arial" w:hAnsi="Arial" w:cs="Arial"/>
                <w:b/>
                <w:iCs/>
                <w:color w:val="FFFFFF" w:themeColor="background1"/>
              </w:rPr>
              <w:t>2008</w:t>
            </w:r>
          </w:p>
        </w:tc>
        <w:tc>
          <w:tcPr>
            <w:tcW w:w="3827" w:type="dxa"/>
            <w:shd w:val="clear" w:color="auto" w:fill="5F497A" w:themeFill="accent4" w:themeFillShade="BF"/>
          </w:tcPr>
          <w:p w14:paraId="30EBE60F" w14:textId="77777777" w:rsidR="00CB10A2" w:rsidRPr="00B561F1" w:rsidRDefault="00CB10A2" w:rsidP="00CB10A2">
            <w:pPr>
              <w:tabs>
                <w:tab w:val="center" w:pos="6979"/>
              </w:tabs>
              <w:rPr>
                <w:rFonts w:ascii="Arial" w:hAnsi="Arial" w:cs="Arial"/>
                <w:b/>
                <w:iCs/>
                <w:color w:val="FFFFFF" w:themeColor="background1"/>
                <w:sz w:val="24"/>
                <w:szCs w:val="20"/>
              </w:rPr>
            </w:pPr>
          </w:p>
        </w:tc>
        <w:tc>
          <w:tcPr>
            <w:tcW w:w="6582" w:type="dxa"/>
            <w:shd w:val="clear" w:color="auto" w:fill="5F497A" w:themeFill="accent4" w:themeFillShade="BF"/>
          </w:tcPr>
          <w:p w14:paraId="30EBE610" w14:textId="77777777" w:rsidR="00CB10A2" w:rsidRPr="00B561F1" w:rsidRDefault="00CB10A2" w:rsidP="00CB10A2">
            <w:pPr>
              <w:tabs>
                <w:tab w:val="center" w:pos="6979"/>
              </w:tabs>
              <w:rPr>
                <w:rFonts w:ascii="Arial" w:hAnsi="Arial" w:cs="Arial"/>
                <w:b/>
                <w:iCs/>
                <w:color w:val="FFFFFF" w:themeColor="background1"/>
                <w:sz w:val="24"/>
                <w:szCs w:val="20"/>
              </w:rPr>
            </w:pPr>
          </w:p>
        </w:tc>
      </w:tr>
      <w:tr w:rsidR="00CB10A2" w:rsidRPr="00EC5DF1" w14:paraId="30EBE616" w14:textId="77777777" w:rsidTr="001870B4">
        <w:tc>
          <w:tcPr>
            <w:tcW w:w="3431" w:type="dxa"/>
          </w:tcPr>
          <w:p w14:paraId="30EBE612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 xml:space="preserve">MRC Toxicology Unit </w:t>
            </w:r>
          </w:p>
        </w:tc>
        <w:tc>
          <w:tcPr>
            <w:tcW w:w="3827" w:type="dxa"/>
          </w:tcPr>
          <w:p w14:paraId="30EBE613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>GSK</w:t>
            </w:r>
          </w:p>
          <w:p w14:paraId="30EBE614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</w:p>
        </w:tc>
        <w:tc>
          <w:tcPr>
            <w:tcW w:w="6582" w:type="dxa"/>
          </w:tcPr>
          <w:p w14:paraId="30EBE615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 xml:space="preserve">Role of miRNA species and mRNA translation in mechanistic and evaluative toxicology in differentiated cardiac, hepatocyte and pancreatic islet cells from stem cells. </w:t>
            </w:r>
          </w:p>
        </w:tc>
      </w:tr>
      <w:tr w:rsidR="00CB10A2" w:rsidRPr="00EC5DF1" w14:paraId="30EBE61A" w14:textId="77777777" w:rsidTr="001870B4">
        <w:tc>
          <w:tcPr>
            <w:tcW w:w="3431" w:type="dxa"/>
          </w:tcPr>
          <w:p w14:paraId="30EBE617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 xml:space="preserve">University of Aberdeen </w:t>
            </w:r>
          </w:p>
        </w:tc>
        <w:tc>
          <w:tcPr>
            <w:tcW w:w="3827" w:type="dxa"/>
          </w:tcPr>
          <w:p w14:paraId="30EBE618" w14:textId="72DD43F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</w:p>
        </w:tc>
        <w:tc>
          <w:tcPr>
            <w:tcW w:w="6582" w:type="dxa"/>
          </w:tcPr>
          <w:p w14:paraId="30EBE619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 xml:space="preserve">Cannabinoid receptor antagonism and malformations in developing brain </w:t>
            </w:r>
          </w:p>
        </w:tc>
      </w:tr>
      <w:tr w:rsidR="00CB10A2" w:rsidRPr="00EC5DF1" w14:paraId="30EBE61E" w14:textId="77777777" w:rsidTr="001870B4">
        <w:tc>
          <w:tcPr>
            <w:tcW w:w="3431" w:type="dxa"/>
          </w:tcPr>
          <w:p w14:paraId="30EBE61B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 xml:space="preserve">University of Dundee </w:t>
            </w:r>
          </w:p>
        </w:tc>
        <w:tc>
          <w:tcPr>
            <w:tcW w:w="3827" w:type="dxa"/>
          </w:tcPr>
          <w:p w14:paraId="30EBE61C" w14:textId="2D85437B" w:rsidR="00CB10A2" w:rsidRPr="000C6A71" w:rsidRDefault="00CB10A2" w:rsidP="00CB10A2">
            <w:pPr>
              <w:pStyle w:val="NoSpacing"/>
              <w:rPr>
                <w:rFonts w:cstheme="minorHAnsi"/>
              </w:rPr>
            </w:pPr>
          </w:p>
        </w:tc>
        <w:tc>
          <w:tcPr>
            <w:tcW w:w="6582" w:type="dxa"/>
          </w:tcPr>
          <w:p w14:paraId="30EBE61D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 xml:space="preserve">Inhibition of apoptosis by transcription factors Nrf1 and Nrf2 occurs mainly through regulation of intracellular redox status </w:t>
            </w:r>
          </w:p>
        </w:tc>
      </w:tr>
      <w:tr w:rsidR="00CB10A2" w:rsidRPr="00EC5DF1" w14:paraId="30EBE622" w14:textId="77777777" w:rsidTr="001870B4">
        <w:tc>
          <w:tcPr>
            <w:tcW w:w="3431" w:type="dxa"/>
          </w:tcPr>
          <w:p w14:paraId="30EBE61F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lastRenderedPageBreak/>
              <w:t xml:space="preserve">University of Dundee </w:t>
            </w:r>
          </w:p>
        </w:tc>
        <w:tc>
          <w:tcPr>
            <w:tcW w:w="3827" w:type="dxa"/>
          </w:tcPr>
          <w:p w14:paraId="30EBE620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>University of Dundee</w:t>
            </w:r>
          </w:p>
        </w:tc>
        <w:tc>
          <w:tcPr>
            <w:tcW w:w="6582" w:type="dxa"/>
          </w:tcPr>
          <w:p w14:paraId="30EBE621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 xml:space="preserve">Non catalytic mechanisms involved in glutathione S-transferase P (GST-P)-mediated </w:t>
            </w:r>
            <w:proofErr w:type="spellStart"/>
            <w:r w:rsidRPr="000C6A71">
              <w:rPr>
                <w:rFonts w:cstheme="minorHAnsi"/>
              </w:rPr>
              <w:t>cytoprotection</w:t>
            </w:r>
            <w:proofErr w:type="spellEnd"/>
            <w:r w:rsidRPr="000C6A71">
              <w:rPr>
                <w:rFonts w:cstheme="minorHAnsi"/>
              </w:rPr>
              <w:t xml:space="preserve"> </w:t>
            </w:r>
          </w:p>
        </w:tc>
      </w:tr>
      <w:tr w:rsidR="00CB10A2" w:rsidRPr="00EC5DF1" w14:paraId="30EBE626" w14:textId="77777777" w:rsidTr="001870B4">
        <w:tc>
          <w:tcPr>
            <w:tcW w:w="3431" w:type="dxa"/>
          </w:tcPr>
          <w:p w14:paraId="30EBE623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 xml:space="preserve">University of Leicester </w:t>
            </w:r>
          </w:p>
        </w:tc>
        <w:tc>
          <w:tcPr>
            <w:tcW w:w="3827" w:type="dxa"/>
          </w:tcPr>
          <w:p w14:paraId="30EBE624" w14:textId="6C7A9D1F" w:rsidR="00CB10A2" w:rsidRPr="000C6A71" w:rsidRDefault="00CB10A2" w:rsidP="00CB10A2">
            <w:pPr>
              <w:pStyle w:val="NoSpacing"/>
              <w:rPr>
                <w:rFonts w:cstheme="minorHAnsi"/>
              </w:rPr>
            </w:pPr>
          </w:p>
        </w:tc>
        <w:tc>
          <w:tcPr>
            <w:tcW w:w="6582" w:type="dxa"/>
          </w:tcPr>
          <w:p w14:paraId="30EBE625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 xml:space="preserve">Mitochondrial DNA-damage and toxin induced vascular endothelial cell ageing </w:t>
            </w:r>
          </w:p>
        </w:tc>
      </w:tr>
      <w:tr w:rsidR="00CB10A2" w:rsidRPr="00EC5DF1" w14:paraId="30EBE62A" w14:textId="77777777" w:rsidTr="001870B4">
        <w:tc>
          <w:tcPr>
            <w:tcW w:w="3431" w:type="dxa"/>
          </w:tcPr>
          <w:p w14:paraId="30EBE627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 xml:space="preserve">University of Manchester </w:t>
            </w:r>
          </w:p>
        </w:tc>
        <w:tc>
          <w:tcPr>
            <w:tcW w:w="3827" w:type="dxa"/>
          </w:tcPr>
          <w:p w14:paraId="30EBE628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>University of Manchester / MRC Toxicology Unit</w:t>
            </w:r>
          </w:p>
        </w:tc>
        <w:tc>
          <w:tcPr>
            <w:tcW w:w="6582" w:type="dxa"/>
          </w:tcPr>
          <w:p w14:paraId="30EBE629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 xml:space="preserve">Interleukin 17 and the development of allergic sensitization to chemicals </w:t>
            </w:r>
          </w:p>
        </w:tc>
      </w:tr>
      <w:tr w:rsidR="00CB10A2" w:rsidRPr="00EC5DF1" w14:paraId="30EBE62E" w14:textId="77777777" w:rsidTr="001870B4">
        <w:tc>
          <w:tcPr>
            <w:tcW w:w="3431" w:type="dxa"/>
          </w:tcPr>
          <w:p w14:paraId="30EBE62B" w14:textId="75E0DAA0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 xml:space="preserve">King’s College, London </w:t>
            </w:r>
          </w:p>
        </w:tc>
        <w:tc>
          <w:tcPr>
            <w:tcW w:w="3827" w:type="dxa"/>
          </w:tcPr>
          <w:p w14:paraId="30EBE62C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>GE Healthcare</w:t>
            </w:r>
          </w:p>
        </w:tc>
        <w:tc>
          <w:tcPr>
            <w:tcW w:w="6582" w:type="dxa"/>
          </w:tcPr>
          <w:p w14:paraId="30EBE62D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 xml:space="preserve">Development of human stem cell populations for integrative toxicology </w:t>
            </w:r>
          </w:p>
        </w:tc>
      </w:tr>
      <w:tr w:rsidR="00CB10A2" w:rsidRPr="00EC5DF1" w14:paraId="30EBE633" w14:textId="77777777" w:rsidTr="001870B4">
        <w:tc>
          <w:tcPr>
            <w:tcW w:w="3431" w:type="dxa"/>
          </w:tcPr>
          <w:p w14:paraId="30EBE62F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 xml:space="preserve">University of Dundee </w:t>
            </w:r>
          </w:p>
        </w:tc>
        <w:tc>
          <w:tcPr>
            <w:tcW w:w="3827" w:type="dxa"/>
          </w:tcPr>
          <w:p w14:paraId="30EBE630" w14:textId="36EAAD7E" w:rsidR="00CB10A2" w:rsidRPr="000C6A71" w:rsidRDefault="00CB10A2" w:rsidP="00CB10A2">
            <w:pPr>
              <w:pStyle w:val="NoSpacing"/>
              <w:rPr>
                <w:rFonts w:cstheme="minorHAnsi"/>
              </w:rPr>
            </w:pPr>
          </w:p>
        </w:tc>
        <w:tc>
          <w:tcPr>
            <w:tcW w:w="6582" w:type="dxa"/>
          </w:tcPr>
          <w:p w14:paraId="30EBE631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>The role of PPAR-delta agonists in hepatic steatosis</w:t>
            </w:r>
          </w:p>
          <w:p w14:paraId="30EBE632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 xml:space="preserve"> </w:t>
            </w:r>
          </w:p>
        </w:tc>
      </w:tr>
      <w:tr w:rsidR="00CB10A2" w:rsidRPr="00EC5DF1" w14:paraId="30EBE637" w14:textId="77777777" w:rsidTr="001870B4">
        <w:tc>
          <w:tcPr>
            <w:tcW w:w="3431" w:type="dxa"/>
          </w:tcPr>
          <w:p w14:paraId="30EBE634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 xml:space="preserve">University of Liverpool </w:t>
            </w:r>
          </w:p>
        </w:tc>
        <w:tc>
          <w:tcPr>
            <w:tcW w:w="3827" w:type="dxa"/>
          </w:tcPr>
          <w:p w14:paraId="30EBE635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>AstraZeneca</w:t>
            </w:r>
          </w:p>
        </w:tc>
        <w:tc>
          <w:tcPr>
            <w:tcW w:w="6582" w:type="dxa"/>
          </w:tcPr>
          <w:p w14:paraId="30EBE636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 xml:space="preserve">Investigation of drug-specific cellular responses relevant to drug-induced immune liver injury in man </w:t>
            </w:r>
          </w:p>
        </w:tc>
      </w:tr>
      <w:tr w:rsidR="00CB10A2" w:rsidRPr="00EC5DF1" w14:paraId="30EBE63B" w14:textId="77777777" w:rsidTr="001870B4">
        <w:tc>
          <w:tcPr>
            <w:tcW w:w="3431" w:type="dxa"/>
          </w:tcPr>
          <w:p w14:paraId="30EBE638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 xml:space="preserve">University of Birmingham </w:t>
            </w:r>
          </w:p>
        </w:tc>
        <w:tc>
          <w:tcPr>
            <w:tcW w:w="3827" w:type="dxa"/>
          </w:tcPr>
          <w:p w14:paraId="30EBE639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>University of Birmingham</w:t>
            </w:r>
          </w:p>
        </w:tc>
        <w:tc>
          <w:tcPr>
            <w:tcW w:w="6582" w:type="dxa"/>
          </w:tcPr>
          <w:p w14:paraId="30EBE63A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 xml:space="preserve">Susceptibility of alternative mRNA processing to interference by small molecules; implications for drug design and toxicity </w:t>
            </w:r>
          </w:p>
        </w:tc>
      </w:tr>
      <w:tr w:rsidR="00CB10A2" w:rsidRPr="00EC5DF1" w14:paraId="30EBE640" w14:textId="77777777" w:rsidTr="001870B4">
        <w:tc>
          <w:tcPr>
            <w:tcW w:w="3431" w:type="dxa"/>
          </w:tcPr>
          <w:p w14:paraId="30EBE63C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 xml:space="preserve">MRC Toxicology Unit </w:t>
            </w:r>
          </w:p>
        </w:tc>
        <w:tc>
          <w:tcPr>
            <w:tcW w:w="3827" w:type="dxa"/>
          </w:tcPr>
          <w:p w14:paraId="30EBE63D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>MRC Toxicology Unit</w:t>
            </w:r>
          </w:p>
        </w:tc>
        <w:tc>
          <w:tcPr>
            <w:tcW w:w="6582" w:type="dxa"/>
          </w:tcPr>
          <w:p w14:paraId="30EBE63E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  <w:r w:rsidRPr="000C6A71">
              <w:rPr>
                <w:rFonts w:cstheme="minorHAnsi"/>
              </w:rPr>
              <w:t xml:space="preserve">Role of Bcl-2 family proteins in neurotoxic cell </w:t>
            </w:r>
          </w:p>
          <w:p w14:paraId="30EBE63F" w14:textId="77777777" w:rsidR="00CB10A2" w:rsidRPr="000C6A71" w:rsidRDefault="00CB10A2" w:rsidP="00CB10A2">
            <w:pPr>
              <w:pStyle w:val="NoSpacing"/>
              <w:rPr>
                <w:rFonts w:cstheme="minorHAnsi"/>
              </w:rPr>
            </w:pPr>
          </w:p>
        </w:tc>
      </w:tr>
    </w:tbl>
    <w:p w14:paraId="30EBE641" w14:textId="77777777" w:rsidR="004364E0" w:rsidRPr="00EC5DF1" w:rsidRDefault="005D7CD9" w:rsidP="005D7CD9">
      <w:pPr>
        <w:tabs>
          <w:tab w:val="center" w:pos="6979"/>
        </w:tabs>
        <w:rPr>
          <w:rFonts w:ascii="Arial" w:hAnsi="Arial" w:cs="Arial"/>
          <w:sz w:val="20"/>
          <w:szCs w:val="20"/>
        </w:rPr>
      </w:pPr>
      <w:r w:rsidRPr="00EC5DF1">
        <w:rPr>
          <w:rFonts w:ascii="Arial" w:hAnsi="Arial" w:cs="Arial"/>
          <w:sz w:val="20"/>
          <w:szCs w:val="20"/>
        </w:rPr>
        <w:tab/>
      </w:r>
    </w:p>
    <w:sectPr w:rsidR="004364E0" w:rsidRPr="00EC5DF1" w:rsidSect="005D7CD9">
      <w:headerReference w:type="default" r:id="rId6"/>
      <w:pgSz w:w="16838" w:h="11906" w:orient="landscape"/>
      <w:pgMar w:top="1440" w:right="1440" w:bottom="1440" w:left="1440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4D985" w14:textId="77777777" w:rsidR="00001F06" w:rsidRDefault="00001F06" w:rsidP="005D7CD9">
      <w:pPr>
        <w:spacing w:after="0" w:line="240" w:lineRule="auto"/>
      </w:pPr>
      <w:r>
        <w:separator/>
      </w:r>
    </w:p>
  </w:endnote>
  <w:endnote w:type="continuationSeparator" w:id="0">
    <w:p w14:paraId="6B098FB0" w14:textId="77777777" w:rsidR="00001F06" w:rsidRDefault="00001F06" w:rsidP="005D7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D4B6F" w14:textId="77777777" w:rsidR="00001F06" w:rsidRDefault="00001F06" w:rsidP="005D7CD9">
      <w:pPr>
        <w:spacing w:after="0" w:line="240" w:lineRule="auto"/>
      </w:pPr>
      <w:r>
        <w:separator/>
      </w:r>
    </w:p>
  </w:footnote>
  <w:footnote w:type="continuationSeparator" w:id="0">
    <w:p w14:paraId="15195DD6" w14:textId="77777777" w:rsidR="00001F06" w:rsidRDefault="00001F06" w:rsidP="005D7C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BE646" w14:textId="04AE429F" w:rsidR="005D7CD9" w:rsidRDefault="00ED6868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7D37219" wp14:editId="7A0CF030">
          <wp:simplePos x="0" y="0"/>
          <wp:positionH relativeFrom="column">
            <wp:posOffset>4267200</wp:posOffset>
          </wp:positionH>
          <wp:positionV relativeFrom="page">
            <wp:posOffset>85725</wp:posOffset>
          </wp:positionV>
          <wp:extent cx="1231265" cy="871855"/>
          <wp:effectExtent l="0" t="0" r="6985" b="444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126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4B2A89" w:rsidRPr="004B2A89"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5EDF3665" wp14:editId="4659CAD7">
          <wp:simplePos x="0" y="0"/>
          <wp:positionH relativeFrom="margin">
            <wp:align>left</wp:align>
          </wp:positionH>
          <wp:positionV relativeFrom="page">
            <wp:posOffset>228600</wp:posOffset>
          </wp:positionV>
          <wp:extent cx="3943350" cy="502285"/>
          <wp:effectExtent l="0" t="0" r="0" b="0"/>
          <wp:wrapSquare wrapText="bothSides"/>
          <wp:docPr id="3" name="Picture 3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 picture containing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3350" cy="502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EBE647" w14:textId="69519752" w:rsidR="005D7CD9" w:rsidRDefault="005D7CD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CD9"/>
    <w:rsid w:val="00001F06"/>
    <w:rsid w:val="00006D56"/>
    <w:rsid w:val="00006E18"/>
    <w:rsid w:val="00040A0F"/>
    <w:rsid w:val="00074C51"/>
    <w:rsid w:val="000C6A71"/>
    <w:rsid w:val="000F3F9E"/>
    <w:rsid w:val="00144FEA"/>
    <w:rsid w:val="00166A5D"/>
    <w:rsid w:val="001870B4"/>
    <w:rsid w:val="001B7107"/>
    <w:rsid w:val="001E7518"/>
    <w:rsid w:val="00206797"/>
    <w:rsid w:val="00246064"/>
    <w:rsid w:val="00247494"/>
    <w:rsid w:val="00250066"/>
    <w:rsid w:val="00292F01"/>
    <w:rsid w:val="002A39A5"/>
    <w:rsid w:val="002C01AA"/>
    <w:rsid w:val="002F3056"/>
    <w:rsid w:val="00303225"/>
    <w:rsid w:val="003179BE"/>
    <w:rsid w:val="003C7D45"/>
    <w:rsid w:val="00411087"/>
    <w:rsid w:val="004364E0"/>
    <w:rsid w:val="00471886"/>
    <w:rsid w:val="00474E7A"/>
    <w:rsid w:val="004B2A89"/>
    <w:rsid w:val="004B7C2C"/>
    <w:rsid w:val="005203CD"/>
    <w:rsid w:val="005462B8"/>
    <w:rsid w:val="00572878"/>
    <w:rsid w:val="00575F2B"/>
    <w:rsid w:val="005879E9"/>
    <w:rsid w:val="005B25F0"/>
    <w:rsid w:val="005C0B88"/>
    <w:rsid w:val="005D7CD9"/>
    <w:rsid w:val="005E5549"/>
    <w:rsid w:val="005F29F6"/>
    <w:rsid w:val="0061039F"/>
    <w:rsid w:val="006373B4"/>
    <w:rsid w:val="00644D0C"/>
    <w:rsid w:val="00653846"/>
    <w:rsid w:val="00656DCE"/>
    <w:rsid w:val="00697017"/>
    <w:rsid w:val="006A3458"/>
    <w:rsid w:val="006A6973"/>
    <w:rsid w:val="007C5FA7"/>
    <w:rsid w:val="00814AB4"/>
    <w:rsid w:val="00856193"/>
    <w:rsid w:val="00897294"/>
    <w:rsid w:val="008F3FC2"/>
    <w:rsid w:val="00905D6F"/>
    <w:rsid w:val="0092628F"/>
    <w:rsid w:val="00987B1E"/>
    <w:rsid w:val="009C3C8A"/>
    <w:rsid w:val="00A15B96"/>
    <w:rsid w:val="00A474CE"/>
    <w:rsid w:val="00A624E2"/>
    <w:rsid w:val="00AB2053"/>
    <w:rsid w:val="00AB4A43"/>
    <w:rsid w:val="00B02A6F"/>
    <w:rsid w:val="00B42E9D"/>
    <w:rsid w:val="00B5198D"/>
    <w:rsid w:val="00B561F1"/>
    <w:rsid w:val="00B862D2"/>
    <w:rsid w:val="00BA76A8"/>
    <w:rsid w:val="00BD710C"/>
    <w:rsid w:val="00BE40BB"/>
    <w:rsid w:val="00BF768A"/>
    <w:rsid w:val="00C303BB"/>
    <w:rsid w:val="00C61D28"/>
    <w:rsid w:val="00C63CFB"/>
    <w:rsid w:val="00C900F7"/>
    <w:rsid w:val="00C93CE8"/>
    <w:rsid w:val="00CB10A2"/>
    <w:rsid w:val="00CE5178"/>
    <w:rsid w:val="00CF5F0D"/>
    <w:rsid w:val="00D00A54"/>
    <w:rsid w:val="00D04ADC"/>
    <w:rsid w:val="00D20E53"/>
    <w:rsid w:val="00D51AFD"/>
    <w:rsid w:val="00D63381"/>
    <w:rsid w:val="00D8455B"/>
    <w:rsid w:val="00D86252"/>
    <w:rsid w:val="00DA7965"/>
    <w:rsid w:val="00DC3531"/>
    <w:rsid w:val="00DD71F9"/>
    <w:rsid w:val="00E02EF5"/>
    <w:rsid w:val="00E62B13"/>
    <w:rsid w:val="00E965B1"/>
    <w:rsid w:val="00EA251F"/>
    <w:rsid w:val="00EC0126"/>
    <w:rsid w:val="00EC5380"/>
    <w:rsid w:val="00EC5DF1"/>
    <w:rsid w:val="00ED6868"/>
    <w:rsid w:val="00EE4C88"/>
    <w:rsid w:val="00F05155"/>
    <w:rsid w:val="00F07B95"/>
    <w:rsid w:val="00F1067F"/>
    <w:rsid w:val="00F726E1"/>
    <w:rsid w:val="00F75E85"/>
    <w:rsid w:val="00F83EF5"/>
    <w:rsid w:val="00F84C47"/>
    <w:rsid w:val="00F92DC0"/>
    <w:rsid w:val="00FB5C02"/>
    <w:rsid w:val="00FC4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EBE523"/>
  <w15:docId w15:val="{A4AA3CE1-6247-42CD-807D-DD32F0AC6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7C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7CD9"/>
  </w:style>
  <w:style w:type="paragraph" w:styleId="Footer">
    <w:name w:val="footer"/>
    <w:basedOn w:val="Normal"/>
    <w:link w:val="FooterChar"/>
    <w:uiPriority w:val="99"/>
    <w:unhideWhenUsed/>
    <w:rsid w:val="005D7C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7CD9"/>
  </w:style>
  <w:style w:type="paragraph" w:styleId="BalloonText">
    <w:name w:val="Balloon Text"/>
    <w:basedOn w:val="Normal"/>
    <w:link w:val="BalloonTextChar"/>
    <w:uiPriority w:val="99"/>
    <w:semiHidden/>
    <w:unhideWhenUsed/>
    <w:rsid w:val="005D7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CD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D7C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5D7C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D7CD9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1E7518"/>
  </w:style>
  <w:style w:type="character" w:customStyle="1" w:styleId="eop">
    <w:name w:val="eop"/>
    <w:basedOn w:val="DefaultParagraphFont"/>
    <w:rsid w:val="001E7518"/>
  </w:style>
  <w:style w:type="paragraph" w:customStyle="1" w:styleId="paragraph">
    <w:name w:val="paragraph"/>
    <w:basedOn w:val="Normal"/>
    <w:rsid w:val="001E7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91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01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77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73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14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1.png@01D7D191.0C05D19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1909</Words>
  <Characters>10887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Heatherley</dc:creator>
  <cp:lastModifiedBy>Kirsti Hornigold</cp:lastModifiedBy>
  <cp:revision>67</cp:revision>
  <cp:lastPrinted>2017-09-08T12:14:00Z</cp:lastPrinted>
  <dcterms:created xsi:type="dcterms:W3CDTF">2019-08-27T10:00:00Z</dcterms:created>
  <dcterms:modified xsi:type="dcterms:W3CDTF">2026-06-25T11:15:00Z</dcterms:modified>
</cp:coreProperties>
</file>